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B" w:rsidRDefault="00153A1B" w:rsidP="00153A1B">
      <w:pPr>
        <w:pStyle w:val="ZAGG"/>
        <w:pageBreakBefore/>
        <w:spacing w:after="60"/>
        <w:rPr>
          <w:color w:val="auto"/>
        </w:rPr>
      </w:pPr>
      <w:r w:rsidRPr="00976B36">
        <w:rPr>
          <w:color w:val="auto"/>
        </w:rPr>
        <w:t>2</w:t>
      </w:r>
      <w:r>
        <w:rPr>
          <w:color w:val="auto"/>
        </w:rPr>
        <w:t>1</w:t>
      </w:r>
      <w:r w:rsidRPr="00976B36">
        <w:rPr>
          <w:color w:val="auto"/>
        </w:rPr>
        <w:t>.3. Цель 3</w:t>
      </w:r>
      <w:r>
        <w:rPr>
          <w:color w:val="auto"/>
        </w:rPr>
        <w:t>.</w:t>
      </w:r>
      <w:r w:rsidRPr="00976B36">
        <w:rPr>
          <w:color w:val="auto"/>
        </w:rPr>
        <w:t xml:space="preserve"> ХОРОШЕЕ ЗДОРОВЬЕ И БЛАГОПОЛУЧИЕ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18"/>
        <w:gridCol w:w="617"/>
        <w:gridCol w:w="617"/>
        <w:gridCol w:w="617"/>
        <w:gridCol w:w="617"/>
        <w:gridCol w:w="616"/>
      </w:tblGrid>
      <w:tr w:rsidR="00153A1B" w:rsidRPr="008374FC" w:rsidTr="0064201E">
        <w:trPr>
          <w:trHeight w:val="20"/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8374FC" w:rsidRDefault="00153A1B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Коэффициент материнской смертности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(на 100 000 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</w:rPr>
              <w:t>родившихся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</w:rPr>
              <w:t xml:space="preserve"> живыми)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16,5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11,2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34,5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Доля родов, принятых квалифицирова</w:t>
            </w:r>
            <w:r w:rsidRPr="000E4E2B">
              <w:rPr>
                <w:rFonts w:ascii="Arial" w:hAnsi="Arial" w:cs="Arial"/>
                <w:sz w:val="14"/>
                <w:szCs w:val="14"/>
              </w:rPr>
              <w:t>н</w:t>
            </w:r>
            <w:r w:rsidRPr="000E4E2B">
              <w:rPr>
                <w:rFonts w:ascii="Arial" w:hAnsi="Arial" w:cs="Arial"/>
                <w:sz w:val="14"/>
                <w:szCs w:val="14"/>
              </w:rPr>
              <w:t>ными медицинскими работниками (пр</w:t>
            </w:r>
            <w:r w:rsidRPr="000E4E2B">
              <w:rPr>
                <w:rFonts w:ascii="Arial" w:hAnsi="Arial" w:cs="Arial"/>
                <w:sz w:val="14"/>
                <w:szCs w:val="14"/>
              </w:rPr>
              <w:t>о</w:t>
            </w:r>
            <w:r w:rsidRPr="000E4E2B">
              <w:rPr>
                <w:rFonts w:ascii="Arial" w:hAnsi="Arial" w:cs="Arial"/>
                <w:sz w:val="14"/>
                <w:szCs w:val="14"/>
              </w:rPr>
              <w:t>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100</w:t>
            </w:r>
            <w:r w:rsidRPr="00BC165D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99,9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99,7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Коэффициент смертности детей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в возрасте до пяти лет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(на 1000 родившихся живыми)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8,0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5,5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5,8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Коэффициент неонатальной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смертности (на 1000 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</w:rPr>
              <w:t>родившихся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живыми)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 2,7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Число новых заражений ВИЧ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на 1000 неинфицированных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0,24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0,25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0,23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0,16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Заболеваемость туберкулезом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100 000 человек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32,8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18,7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12,6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12,8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 xml:space="preserve"> 76,9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 xml:space="preserve"> 57,7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 xml:space="preserve"> 44,4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 xml:space="preserve"> 41,2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32,4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31,1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Заболеваемость малярией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1000 человек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Заболеваемость гепатитом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</w:rPr>
              <w:t xml:space="preserve"> В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100 000 человек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4,9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15,4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11,9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Смертность  по причинам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(на 100 000 человек населения)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от болезней системы кровообращения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779,2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702,4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721,4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753,9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806,4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635,3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583,1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573,2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640,8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640,3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от злокачественных новообразований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191,7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184,5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196,9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201,6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203,1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202,5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200,6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199,0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191,3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от сахарного диабета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18,3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27,4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28,0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35,4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30,5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от хронических респираторных забол</w:t>
            </w:r>
            <w:r w:rsidRPr="00BC165D">
              <w:rPr>
                <w:rFonts w:ascii="Arial" w:hAnsi="Arial" w:cs="Arial"/>
                <w:sz w:val="14"/>
                <w:szCs w:val="14"/>
              </w:rPr>
              <w:t>е</w:t>
            </w:r>
            <w:r w:rsidRPr="00BC165D">
              <w:rPr>
                <w:rFonts w:ascii="Arial" w:hAnsi="Arial" w:cs="Arial"/>
                <w:sz w:val="14"/>
                <w:szCs w:val="14"/>
              </w:rPr>
              <w:t>ваний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26,5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13,8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14,4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14,3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8374FC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);5)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22,3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24,1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</w:t>
            </w: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22,1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21,4</w:t>
            </w:r>
          </w:p>
        </w:tc>
      </w:tr>
    </w:tbl>
    <w:p w:rsidR="00153A1B" w:rsidRPr="00587D9D" w:rsidRDefault="00153A1B" w:rsidP="00153A1B">
      <w:pPr>
        <w:pStyle w:val="Noparagraphstyle"/>
        <w:pageBreakBefore/>
        <w:spacing w:after="6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587D9D">
        <w:rPr>
          <w:rFonts w:ascii="Arial" w:hAnsi="Arial" w:cs="Arial"/>
          <w:color w:val="auto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color w:val="auto"/>
          <w:sz w:val="14"/>
          <w:szCs w:val="14"/>
        </w:rPr>
        <w:t>21</w:t>
      </w:r>
      <w:r w:rsidRPr="00587D9D">
        <w:rPr>
          <w:rFonts w:ascii="Arial" w:hAnsi="Arial" w:cs="Arial"/>
          <w:color w:val="auto"/>
          <w:sz w:val="14"/>
          <w:szCs w:val="14"/>
        </w:rPr>
        <w:t>.3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18"/>
        <w:gridCol w:w="617"/>
        <w:gridCol w:w="617"/>
        <w:gridCol w:w="617"/>
        <w:gridCol w:w="617"/>
        <w:gridCol w:w="616"/>
      </w:tblGrid>
      <w:tr w:rsidR="00153A1B" w:rsidRPr="008374FC" w:rsidTr="0064201E">
        <w:trPr>
          <w:trHeight w:val="20"/>
          <w:tblHeader/>
          <w:jc w:val="center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8374FC" w:rsidRDefault="00153A1B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53A1B" w:rsidRPr="008374FC" w:rsidRDefault="00153A1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pStyle w:val="12"/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Смертность от самоубийств,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на 100 000 человек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26,0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18,1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17,7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17,4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12,4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11,7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11,3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10,7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pStyle w:val="12"/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47,1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33,1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31,6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41,9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30,8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22,1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21,0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20,2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19,1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pStyle w:val="12"/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3,4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Показатель рождаемости среди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девушек-подростков (в возрасте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от 10 до 14 лет; в возрасте от 15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до 19 лет) на 1000 девушек-подростков в той же возрастной группе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от 10 до 14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0,06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0,1</w:t>
            </w:r>
            <w:r w:rsidRPr="00BC165D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6)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от 15 до 19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20,7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18,5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11,8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26,9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16,13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14,6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14,1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13,5</w:t>
            </w:r>
            <w:r w:rsidRPr="00BC165D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6)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0E4E2B" w:rsidRDefault="00153A1B" w:rsidP="0064201E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Число медицинских работников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душу населения (на 10000 человек населения)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176,4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189,3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193,3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193,5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193,8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193,8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врачи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47,8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56,1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58,7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59,1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59,7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59,7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средний медперсонал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128,6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133,2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134,6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134,3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134,1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134,1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7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10,1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0E4E2B" w:rsidRDefault="00153A1B" w:rsidP="0064201E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Ожидаемая продолжительность жизни при рождении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(число лет)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70,4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73,8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74,4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74,4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68,9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71,4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72,9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73,3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71,5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  <w:lang w:val="en-US"/>
              </w:rPr>
              <w:t>70,1</w:t>
            </w:r>
            <w:r w:rsidRPr="00BC165D">
              <w:rPr>
                <w:rFonts w:ascii="Arial" w:hAnsi="Arial" w:cs="Arial"/>
                <w:bCs/>
                <w:sz w:val="14"/>
                <w:szCs w:val="14"/>
                <w:vertAlign w:val="superscript"/>
                <w:lang w:val="en-US"/>
              </w:rPr>
              <w:t>6</w:t>
            </w:r>
            <w:r w:rsidRPr="00BC165D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0E4E2B" w:rsidRDefault="00153A1B" w:rsidP="0064201E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Смертность в результате дорожно-транспортных происшествий (всего уме</w:t>
            </w:r>
            <w:r w:rsidRPr="000E4E2B">
              <w:rPr>
                <w:rFonts w:ascii="Arial" w:hAnsi="Arial" w:cs="Arial"/>
                <w:sz w:val="14"/>
                <w:szCs w:val="14"/>
              </w:rPr>
              <w:t>р</w:t>
            </w:r>
            <w:r w:rsidRPr="000E4E2B">
              <w:rPr>
                <w:rFonts w:ascii="Arial" w:hAnsi="Arial" w:cs="Arial"/>
                <w:sz w:val="14"/>
                <w:szCs w:val="14"/>
              </w:rPr>
              <w:t>ших на 100 000 человек населения)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12,5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5,6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14,0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12,2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9,3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53A1B" w:rsidRPr="000E4E2B" w:rsidRDefault="00153A1B" w:rsidP="0064201E">
            <w:pPr>
              <w:spacing w:before="40" w:line="140" w:lineRule="exact"/>
              <w:ind w:left="-8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Расходы консолидированных бюджетов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на здравоохранение (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</w:rPr>
              <w:t xml:space="preserve"> % к ВВП)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53A1B" w:rsidRPr="00BC165D" w:rsidRDefault="00153A1B" w:rsidP="0064201E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</w:tr>
      <w:tr w:rsidR="00153A1B" w:rsidRPr="00BC165D" w:rsidTr="0064201E">
        <w:trPr>
          <w:trHeight w:val="60"/>
          <w:jc w:val="center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8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4,6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53A1B" w:rsidRPr="00BC165D" w:rsidRDefault="00153A1B" w:rsidP="0064201E">
            <w:pPr>
              <w:spacing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C165D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</w:tr>
    </w:tbl>
    <w:p w:rsidR="00153A1B" w:rsidRPr="00BC165D" w:rsidRDefault="00153A1B" w:rsidP="00153A1B">
      <w:pPr>
        <w:spacing w:before="60"/>
        <w:ind w:left="142" w:hanging="142"/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 Источник данных до 2020 г. – </w:t>
      </w:r>
      <w:proofErr w:type="spellStart"/>
      <w:r w:rsidRPr="00BC165D">
        <w:rPr>
          <w:rFonts w:ascii="Arial" w:eastAsia="Calibri" w:hAnsi="Arial" w:cs="Arial"/>
          <w:bCs/>
          <w:sz w:val="12"/>
          <w:szCs w:val="12"/>
        </w:rPr>
        <w:t>Многоиндикаторное</w:t>
      </w:r>
      <w:proofErr w:type="spellEnd"/>
      <w:r w:rsidRPr="00BC165D">
        <w:rPr>
          <w:rFonts w:ascii="Arial" w:eastAsia="Calibri" w:hAnsi="Arial" w:cs="Arial"/>
          <w:bCs/>
          <w:sz w:val="12"/>
          <w:szCs w:val="12"/>
        </w:rPr>
        <w:t xml:space="preserve"> кластерное обследование для оценки положения детей и же</w:t>
      </w:r>
      <w:r w:rsidRPr="00BC165D">
        <w:rPr>
          <w:rFonts w:ascii="Arial" w:eastAsia="Calibri" w:hAnsi="Arial" w:cs="Arial"/>
          <w:bCs/>
          <w:sz w:val="12"/>
          <w:szCs w:val="12"/>
        </w:rPr>
        <w:t>н</w:t>
      </w:r>
      <w:r w:rsidRPr="00BC165D">
        <w:rPr>
          <w:rFonts w:ascii="Arial" w:eastAsia="Calibri" w:hAnsi="Arial" w:cs="Arial"/>
          <w:bCs/>
          <w:sz w:val="12"/>
          <w:szCs w:val="12"/>
        </w:rPr>
        <w:t>щин (МИКС), с 2020 г. – административные данные Министерства здравоохранения Республики Беларусь.</w:t>
      </w:r>
    </w:p>
    <w:p w:rsidR="00153A1B" w:rsidRPr="00BC165D" w:rsidRDefault="00153A1B" w:rsidP="00153A1B">
      <w:pPr>
        <w:jc w:val="both"/>
        <w:rPr>
          <w:rFonts w:ascii="Arial" w:eastAsia="Calibri" w:hAnsi="Arial" w:cs="Arial"/>
          <w:bCs/>
          <w:sz w:val="12"/>
          <w:szCs w:val="12"/>
          <w:vertAlign w:val="superscript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2)</w:t>
      </w:r>
      <w:r w:rsidRPr="00BC165D">
        <w:rPr>
          <w:rFonts w:ascii="Arial" w:eastAsia="Calibri" w:hAnsi="Arial" w:cs="Arial"/>
          <w:bCs/>
          <w:sz w:val="12"/>
          <w:szCs w:val="12"/>
        </w:rPr>
        <w:t> Данные за 2012 г.</w:t>
      </w: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 xml:space="preserve"> </w:t>
      </w:r>
    </w:p>
    <w:p w:rsidR="00153A1B" w:rsidRPr="00BC165D" w:rsidRDefault="00153A1B" w:rsidP="00153A1B">
      <w:pPr>
        <w:jc w:val="both"/>
        <w:rPr>
          <w:rFonts w:ascii="Arial" w:eastAsia="Calibri" w:hAnsi="Arial" w:cs="Arial"/>
          <w:bCs/>
          <w:sz w:val="12"/>
          <w:szCs w:val="12"/>
          <w:vertAlign w:val="superscript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3)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 С учетом изменения методологии формирования показателя. </w:t>
      </w:r>
    </w:p>
    <w:p w:rsidR="00153A1B" w:rsidRPr="00BC165D" w:rsidRDefault="00153A1B" w:rsidP="00153A1B">
      <w:pPr>
        <w:jc w:val="both"/>
        <w:rPr>
          <w:rFonts w:ascii="Arial" w:eastAsia="Calibri" w:hAnsi="Arial" w:cs="Arial"/>
          <w:bCs/>
          <w:sz w:val="12"/>
          <w:szCs w:val="12"/>
          <w:vertAlign w:val="superscript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4)</w:t>
      </w:r>
      <w:r w:rsidRPr="00BC165D">
        <w:rPr>
          <w:rFonts w:ascii="Arial" w:eastAsia="Calibri" w:hAnsi="Arial" w:cs="Arial"/>
          <w:sz w:val="12"/>
          <w:szCs w:val="12"/>
        </w:rPr>
        <w:t> </w:t>
      </w:r>
      <w:r w:rsidRPr="00BC165D">
        <w:rPr>
          <w:rFonts w:ascii="Arial" w:eastAsia="Calibri" w:hAnsi="Arial" w:cs="Arial"/>
          <w:bCs/>
          <w:sz w:val="12"/>
          <w:szCs w:val="12"/>
        </w:rPr>
        <w:t>Данные рассчитаны для всего населения.</w:t>
      </w:r>
    </w:p>
    <w:p w:rsidR="00153A1B" w:rsidRPr="00BC165D" w:rsidRDefault="00153A1B" w:rsidP="00153A1B">
      <w:pPr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5)</w:t>
      </w:r>
      <w:r w:rsidRPr="00BC165D">
        <w:rPr>
          <w:rFonts w:ascii="Arial" w:eastAsia="Calibri" w:hAnsi="Arial" w:cs="Arial"/>
          <w:bCs/>
          <w:sz w:val="12"/>
          <w:szCs w:val="12"/>
        </w:rPr>
        <w:t> Смертность от хронических болезней нижних дыхательных путей.</w:t>
      </w:r>
    </w:p>
    <w:p w:rsidR="00153A1B" w:rsidRPr="00BC165D" w:rsidRDefault="00153A1B" w:rsidP="00153A1B">
      <w:pPr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6)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 Данные без учета итогов ВПН-2020. </w:t>
      </w:r>
    </w:p>
    <w:p w:rsidR="00153A1B" w:rsidRPr="00BC165D" w:rsidRDefault="00153A1B" w:rsidP="00153A1B">
      <w:pPr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7)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 Данные рассчитаны на 1000 человек населения.</w:t>
      </w:r>
    </w:p>
    <w:p w:rsidR="00153A1B" w:rsidRPr="00BC165D" w:rsidRDefault="00153A1B" w:rsidP="00153A1B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8)</w:t>
      </w:r>
      <w:r w:rsidRPr="00BC165D">
        <w:rPr>
          <w:rFonts w:ascii="Arial" w:eastAsia="Calibri" w:hAnsi="Arial" w:cs="Arial"/>
          <w:sz w:val="12"/>
          <w:szCs w:val="12"/>
        </w:rPr>
        <w:t> По данным Федерального казначейства. Расчет осуществлен с учетом бюджетов государственных внебюджетных фондов.</w:t>
      </w:r>
    </w:p>
    <w:p w:rsidR="00120EB1" w:rsidRPr="00DC5477" w:rsidRDefault="00120EB1" w:rsidP="00DC5477">
      <w:bookmarkStart w:id="0" w:name="_GoBack"/>
      <w:bookmarkEnd w:id="0"/>
    </w:p>
    <w:sectPr w:rsidR="00120EB1" w:rsidRPr="00DC5477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61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4608-88FC-4E21-B602-101CDA4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162</cp:revision>
  <cp:lastPrinted>2022-12-12T12:48:00Z</cp:lastPrinted>
  <dcterms:created xsi:type="dcterms:W3CDTF">2022-12-13T07:44:00Z</dcterms:created>
  <dcterms:modified xsi:type="dcterms:W3CDTF">2022-12-14T10:56:00Z</dcterms:modified>
</cp:coreProperties>
</file>