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58" w:rsidRPr="00A74834" w:rsidRDefault="00607958" w:rsidP="00607958">
      <w:pPr>
        <w:pageBreakBefore/>
        <w:spacing w:after="120"/>
        <w:jc w:val="center"/>
        <w:rPr>
          <w:rFonts w:ascii="Arial" w:hAnsi="Arial" w:cs="Arial"/>
          <w:bCs/>
          <w:sz w:val="14"/>
          <w:szCs w:val="14"/>
        </w:rPr>
      </w:pPr>
      <w:r w:rsidRPr="00A74834">
        <w:rPr>
          <w:rFonts w:ascii="Arial" w:hAnsi="Arial" w:cs="Arial"/>
          <w:b/>
          <w:sz w:val="16"/>
          <w:szCs w:val="16"/>
        </w:rPr>
        <w:t>2.6.</w:t>
      </w:r>
      <w:r w:rsidRPr="00A74834">
        <w:rPr>
          <w:rFonts w:ascii="Arial" w:hAnsi="Arial" w:cs="Arial"/>
          <w:sz w:val="16"/>
          <w:szCs w:val="16"/>
        </w:rPr>
        <w:t xml:space="preserve"> </w:t>
      </w:r>
      <w:r w:rsidRPr="00A74834">
        <w:rPr>
          <w:rFonts w:ascii="Arial" w:hAnsi="Arial" w:cs="Arial"/>
          <w:b/>
          <w:caps/>
          <w:sz w:val="16"/>
          <w:szCs w:val="16"/>
        </w:rPr>
        <w:t>РАСХОДЫ БЮДЖЕТНОЙ СИСТЕМЫ Российской Федерации</w:t>
      </w:r>
      <w:r w:rsidRPr="00A74834">
        <w:rPr>
          <w:rFonts w:ascii="Arial" w:hAnsi="Arial" w:cs="Arial"/>
          <w:bCs/>
          <w:i/>
          <w:sz w:val="16"/>
          <w:szCs w:val="14"/>
        </w:rPr>
        <w:br/>
      </w:r>
      <w:r w:rsidRPr="00A74834">
        <w:rPr>
          <w:rFonts w:ascii="Arial" w:hAnsi="Arial" w:cs="Arial"/>
          <w:b/>
          <w:caps/>
          <w:sz w:val="16"/>
          <w:szCs w:val="16"/>
        </w:rPr>
        <w:t>НА СОЦИАЛЬНО</w:t>
      </w:r>
      <w:r w:rsidRPr="00A74834">
        <w:rPr>
          <w:rFonts w:ascii="Arial" w:hAnsi="Arial" w:cs="Arial"/>
          <w:bCs/>
          <w:i/>
          <w:sz w:val="16"/>
          <w:szCs w:val="14"/>
        </w:rPr>
        <w:t>-</w:t>
      </w:r>
      <w:r w:rsidRPr="00A74834">
        <w:rPr>
          <w:rFonts w:ascii="Arial" w:hAnsi="Arial" w:cs="Arial"/>
          <w:b/>
          <w:bCs/>
          <w:sz w:val="16"/>
          <w:szCs w:val="14"/>
        </w:rPr>
        <w:t>КУЛЬТУРНЫЕ МЕРОПРИЯТИЯ</w:t>
      </w:r>
      <w:proofErr w:type="gramStart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A74834">
        <w:rPr>
          <w:rFonts w:ascii="Arial" w:hAnsi="Arial" w:cs="Arial"/>
          <w:bCs/>
          <w:i/>
          <w:sz w:val="16"/>
          <w:szCs w:val="14"/>
        </w:rPr>
        <w:br/>
      </w:r>
      <w:r w:rsidRPr="00A74834">
        <w:rPr>
          <w:rFonts w:ascii="Arial" w:hAnsi="Arial" w:cs="Arial"/>
          <w:bCs/>
          <w:sz w:val="14"/>
          <w:szCs w:val="14"/>
        </w:rPr>
        <w:t>(миллиардов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134"/>
        <w:gridCol w:w="984"/>
        <w:gridCol w:w="842"/>
        <w:gridCol w:w="842"/>
        <w:gridCol w:w="842"/>
      </w:tblGrid>
      <w:tr w:rsidR="00607958" w:rsidRPr="00A74834" w:rsidTr="00E51D4B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</w:t>
            </w:r>
            <w:r w:rsidRPr="00A74834">
              <w:rPr>
                <w:rFonts w:ascii="Arial" w:hAnsi="Arial" w:cs="Arial"/>
                <w:sz w:val="12"/>
                <w:szCs w:val="12"/>
              </w:rPr>
              <w:t>н</w:t>
            </w:r>
            <w:r w:rsidRPr="00A74834">
              <w:rPr>
                <w:rFonts w:ascii="Arial" w:hAnsi="Arial" w:cs="Arial"/>
                <w:sz w:val="12"/>
                <w:szCs w:val="12"/>
              </w:rPr>
              <w:t xml:space="preserve">ный бюджет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A74834">
              <w:rPr>
                <w:rFonts w:ascii="Arial" w:hAnsi="Arial" w:cs="Arial"/>
                <w:sz w:val="12"/>
                <w:szCs w:val="12"/>
              </w:rPr>
              <w:t xml:space="preserve">Российской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 xml:space="preserve">Федерации и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бюджетов </w:t>
            </w:r>
            <w:r w:rsidRPr="00A74834">
              <w:rPr>
                <w:rFonts w:ascii="Arial" w:hAnsi="Arial" w:cs="Arial"/>
                <w:sz w:val="12"/>
                <w:szCs w:val="12"/>
              </w:rPr>
              <w:t>госуда</w:t>
            </w:r>
            <w:r w:rsidRPr="00A74834">
              <w:rPr>
                <w:rFonts w:ascii="Arial" w:hAnsi="Arial" w:cs="Arial"/>
                <w:sz w:val="12"/>
                <w:szCs w:val="12"/>
              </w:rPr>
              <w:t>р</w:t>
            </w:r>
            <w:r w:rsidRPr="00A74834">
              <w:rPr>
                <w:rFonts w:ascii="Arial" w:hAnsi="Arial" w:cs="Arial"/>
                <w:sz w:val="12"/>
                <w:szCs w:val="12"/>
              </w:rPr>
              <w:t>ственных внебю</w:t>
            </w:r>
            <w:r w:rsidRPr="00A74834">
              <w:rPr>
                <w:rFonts w:ascii="Arial" w:hAnsi="Arial" w:cs="Arial"/>
                <w:sz w:val="12"/>
                <w:szCs w:val="12"/>
              </w:rPr>
              <w:t>д</w:t>
            </w:r>
            <w:r w:rsidRPr="00A74834">
              <w:rPr>
                <w:rFonts w:ascii="Arial" w:hAnsi="Arial" w:cs="Arial"/>
                <w:sz w:val="12"/>
                <w:szCs w:val="12"/>
              </w:rPr>
              <w:t>жетных фондов</w:t>
            </w:r>
          </w:p>
        </w:tc>
        <w:tc>
          <w:tcPr>
            <w:tcW w:w="3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607958" w:rsidRPr="003B671C" w:rsidTr="00E51D4B">
        <w:trPr>
          <w:cantSplit/>
          <w:jc w:val="center"/>
        </w:trPr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бюджеты го</w:t>
            </w:r>
            <w:r w:rsidRPr="00A74834">
              <w:rPr>
                <w:rFonts w:ascii="Arial" w:hAnsi="Arial" w:cs="Arial"/>
                <w:sz w:val="12"/>
                <w:szCs w:val="12"/>
              </w:rPr>
              <w:t>с</w:t>
            </w:r>
            <w:r w:rsidRPr="00A74834">
              <w:rPr>
                <w:rFonts w:ascii="Arial" w:hAnsi="Arial" w:cs="Arial"/>
                <w:sz w:val="12"/>
                <w:szCs w:val="12"/>
              </w:rPr>
              <w:t>ударственных внебюдже</w:t>
            </w:r>
            <w:r w:rsidRPr="00A74834">
              <w:rPr>
                <w:rFonts w:ascii="Arial" w:hAnsi="Arial" w:cs="Arial"/>
                <w:sz w:val="12"/>
                <w:szCs w:val="12"/>
              </w:rPr>
              <w:t>т</w:t>
            </w:r>
            <w:r w:rsidRPr="00A74834">
              <w:rPr>
                <w:rFonts w:ascii="Arial" w:hAnsi="Arial" w:cs="Arial"/>
                <w:sz w:val="12"/>
                <w:szCs w:val="12"/>
              </w:rPr>
              <w:t>ных фондов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</w:t>
            </w:r>
            <w:r w:rsidRPr="00A74834">
              <w:rPr>
                <w:rFonts w:ascii="Arial" w:hAnsi="Arial" w:cs="Arial"/>
                <w:sz w:val="12"/>
                <w:szCs w:val="12"/>
              </w:rPr>
              <w:t>о</w:t>
            </w:r>
            <w:r w:rsidRPr="00A74834">
              <w:rPr>
                <w:rFonts w:ascii="Arial" w:hAnsi="Arial" w:cs="Arial"/>
                <w:sz w:val="12"/>
                <w:szCs w:val="12"/>
              </w:rPr>
              <w:t>ванные бю</w:t>
            </w:r>
            <w:r w:rsidRPr="00A74834">
              <w:rPr>
                <w:rFonts w:ascii="Arial" w:hAnsi="Arial" w:cs="Arial"/>
                <w:sz w:val="12"/>
                <w:szCs w:val="12"/>
              </w:rPr>
              <w:t>д</w:t>
            </w:r>
            <w:r w:rsidRPr="00A74834">
              <w:rPr>
                <w:rFonts w:ascii="Arial" w:hAnsi="Arial" w:cs="Arial"/>
                <w:sz w:val="12"/>
                <w:szCs w:val="12"/>
              </w:rPr>
              <w:t>жеты субъе</w:t>
            </w:r>
            <w:r w:rsidRPr="00A74834">
              <w:rPr>
                <w:rFonts w:ascii="Arial" w:hAnsi="Arial" w:cs="Arial"/>
                <w:sz w:val="12"/>
                <w:szCs w:val="12"/>
              </w:rPr>
              <w:t>к</w:t>
            </w:r>
            <w:r w:rsidRPr="00A74834">
              <w:rPr>
                <w:rFonts w:ascii="Arial" w:hAnsi="Arial" w:cs="Arial"/>
                <w:sz w:val="12"/>
                <w:szCs w:val="12"/>
              </w:rPr>
              <w:t>тов Росси</w:t>
            </w:r>
            <w:r w:rsidRPr="00A74834">
              <w:rPr>
                <w:rFonts w:ascii="Arial" w:hAnsi="Arial" w:cs="Arial"/>
                <w:sz w:val="12"/>
                <w:szCs w:val="12"/>
              </w:rPr>
              <w:t>й</w:t>
            </w:r>
            <w:r w:rsidRPr="00A74834">
              <w:rPr>
                <w:rFonts w:ascii="Arial" w:hAnsi="Arial" w:cs="Arial"/>
                <w:sz w:val="12"/>
                <w:szCs w:val="12"/>
              </w:rPr>
              <w:t>ской Федер</w:t>
            </w:r>
            <w:r w:rsidRPr="00A74834">
              <w:rPr>
                <w:rFonts w:ascii="Arial" w:hAnsi="Arial" w:cs="Arial"/>
                <w:sz w:val="12"/>
                <w:szCs w:val="12"/>
              </w:rPr>
              <w:t>а</w:t>
            </w:r>
            <w:r w:rsidRPr="00A74834">
              <w:rPr>
                <w:rFonts w:ascii="Arial" w:hAnsi="Arial" w:cs="Arial"/>
                <w:sz w:val="12"/>
                <w:szCs w:val="12"/>
              </w:rPr>
              <w:t>ции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607958" w:rsidRPr="00A74834" w:rsidRDefault="00607958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бюджеты те</w:t>
            </w:r>
            <w:r w:rsidRPr="00A74834">
              <w:rPr>
                <w:rFonts w:ascii="Arial" w:hAnsi="Arial" w:cs="Arial"/>
                <w:sz w:val="12"/>
                <w:szCs w:val="12"/>
              </w:rPr>
              <w:t>р</w:t>
            </w:r>
            <w:r w:rsidRPr="00A74834">
              <w:rPr>
                <w:rFonts w:ascii="Arial" w:hAnsi="Arial" w:cs="Arial"/>
                <w:sz w:val="12"/>
                <w:szCs w:val="12"/>
              </w:rPr>
              <w:t xml:space="preserve">риториальных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государстве</w:t>
            </w:r>
            <w:r w:rsidRPr="00A74834">
              <w:rPr>
                <w:rFonts w:ascii="Arial" w:hAnsi="Arial" w:cs="Arial"/>
                <w:sz w:val="12"/>
                <w:szCs w:val="12"/>
              </w:rPr>
              <w:t>н</w:t>
            </w:r>
            <w:r w:rsidRPr="00A74834">
              <w:rPr>
                <w:rFonts w:ascii="Arial" w:hAnsi="Arial" w:cs="Arial"/>
                <w:sz w:val="12"/>
                <w:szCs w:val="12"/>
              </w:rPr>
              <w:t>ных внебю</w:t>
            </w:r>
            <w:r w:rsidRPr="00A74834">
              <w:rPr>
                <w:rFonts w:ascii="Arial" w:hAnsi="Arial" w:cs="Arial"/>
                <w:sz w:val="12"/>
                <w:szCs w:val="12"/>
              </w:rPr>
              <w:t>д</w:t>
            </w:r>
            <w:r w:rsidRPr="00A74834">
              <w:rPr>
                <w:rFonts w:ascii="Arial" w:hAnsi="Arial" w:cs="Arial"/>
                <w:sz w:val="12"/>
                <w:szCs w:val="12"/>
              </w:rPr>
              <w:t>жетных фо</w:t>
            </w:r>
            <w:r w:rsidRPr="00A74834">
              <w:rPr>
                <w:rFonts w:ascii="Arial" w:hAnsi="Arial" w:cs="Arial"/>
                <w:sz w:val="12"/>
                <w:szCs w:val="12"/>
              </w:rPr>
              <w:t>н</w:t>
            </w:r>
            <w:r w:rsidRPr="00A74834">
              <w:rPr>
                <w:rFonts w:ascii="Arial" w:hAnsi="Arial" w:cs="Arial"/>
                <w:sz w:val="12"/>
                <w:szCs w:val="12"/>
              </w:rPr>
              <w:t>дов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07958" w:rsidRPr="00B141C3" w:rsidRDefault="00607958" w:rsidP="00E51D4B">
            <w:pPr>
              <w:spacing w:before="20" w:line="140" w:lineRule="exact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27"/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B141C3">
              <w:rPr>
                <w:rFonts w:ascii="Arial" w:eastAsia="Arial Unicode MS" w:hAnsi="Arial" w:cs="Arial"/>
                <w:b/>
                <w:sz w:val="14"/>
              </w:rPr>
              <w:t>2018 г.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Всего</w:t>
            </w:r>
          </w:p>
        </w:tc>
        <w:tc>
          <w:tcPr>
            <w:tcW w:w="113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20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382,8</w:t>
            </w:r>
          </w:p>
        </w:tc>
        <w:tc>
          <w:tcPr>
            <w:tcW w:w="98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6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089,0</w:t>
            </w:r>
          </w:p>
        </w:tc>
        <w:tc>
          <w:tcPr>
            <w:tcW w:w="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10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978,4</w:t>
            </w:r>
          </w:p>
        </w:tc>
        <w:tc>
          <w:tcPr>
            <w:tcW w:w="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7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153,8</w:t>
            </w:r>
          </w:p>
        </w:tc>
        <w:tc>
          <w:tcPr>
            <w:tcW w:w="843" w:type="dxa"/>
            <w:tcBorders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051,6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284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B141C3">
              <w:rPr>
                <w:rFonts w:ascii="Arial" w:hAnsi="Arial" w:cs="Arial"/>
                <w:sz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668,6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722,6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015,6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 xml:space="preserve">культуру, кинематографию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528,2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94,9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441,3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здравоохранение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315,9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537,3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987,9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950,8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051,5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социальную политику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12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402,2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581,8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990,3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415,2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0,1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физическую культуру </w:t>
            </w:r>
            <w:r w:rsidRPr="00B141C3">
              <w:rPr>
                <w:rFonts w:ascii="Arial" w:hAnsi="Arial" w:cs="Arial"/>
                <w:sz w:val="14"/>
              </w:rPr>
              <w:br/>
              <w:t>и спорт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331,4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64,0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282,8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средства массовой </w:t>
            </w:r>
            <w:r w:rsidRPr="00B141C3">
              <w:rPr>
                <w:rFonts w:ascii="Arial" w:hAnsi="Arial" w:cs="Arial"/>
                <w:sz w:val="14"/>
              </w:rPr>
              <w:br/>
              <w:t>информации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136,5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88,4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48,1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27"/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B141C3">
              <w:rPr>
                <w:rFonts w:ascii="Arial" w:eastAsia="Arial Unicode MS" w:hAnsi="Arial" w:cs="Arial"/>
                <w:b/>
                <w:sz w:val="14"/>
              </w:rPr>
              <w:t>2019 г.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21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982,6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6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729,6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11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414,6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8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062,6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B141C3">
              <w:rPr>
                <w:rFonts w:ascii="Arial" w:hAnsi="Arial" w:cs="Arial"/>
                <w:b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b/>
                <w:sz w:val="14"/>
              </w:rPr>
              <w:t>266,1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284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B141C3">
              <w:rPr>
                <w:rFonts w:ascii="Arial" w:hAnsi="Arial" w:cs="Arial"/>
                <w:sz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050,7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826,5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356,3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 xml:space="preserve">культуру, кинематографию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587,9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122,4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480,3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здравоохранение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789,7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713,0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185,9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167,2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266,0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социальную политику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13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022,8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882,8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9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228,5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b/>
                <w:sz w:val="14"/>
              </w:rPr>
              <w:t> </w:t>
            </w:r>
            <w:r w:rsidRPr="00B141C3">
              <w:rPr>
                <w:rFonts w:ascii="Arial" w:hAnsi="Arial" w:cs="Arial"/>
                <w:sz w:val="14"/>
              </w:rPr>
              <w:t>685,8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0,1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физическую культуру </w:t>
            </w:r>
            <w:r w:rsidRPr="00B141C3">
              <w:rPr>
                <w:rFonts w:ascii="Arial" w:hAnsi="Arial" w:cs="Arial"/>
                <w:sz w:val="14"/>
              </w:rPr>
              <w:br/>
              <w:t>и спорт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375,5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81,4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320,2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средства массовой </w:t>
            </w:r>
            <w:r w:rsidRPr="00B141C3">
              <w:rPr>
                <w:rFonts w:ascii="Arial" w:hAnsi="Arial" w:cs="Arial"/>
                <w:sz w:val="14"/>
              </w:rPr>
              <w:br/>
              <w:t>информации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156,1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103,5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52,6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27"/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B141C3">
              <w:rPr>
                <w:rFonts w:ascii="Arial" w:eastAsia="Arial Unicode MS" w:hAnsi="Arial" w:cs="Arial"/>
                <w:b/>
                <w:sz w:val="14"/>
              </w:rPr>
              <w:t>2020 г.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F74A49">
              <w:rPr>
                <w:rFonts w:ascii="Arial" w:hAnsi="Arial" w:cs="Arial"/>
                <w:b/>
                <w:sz w:val="14"/>
                <w:szCs w:val="24"/>
              </w:rPr>
              <w:t>25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24"/>
              </w:rPr>
              <w:t>569,5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F74A49">
              <w:rPr>
                <w:rFonts w:ascii="Arial" w:hAnsi="Arial" w:cs="Arial"/>
                <w:b/>
                <w:sz w:val="14"/>
                <w:szCs w:val="2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24"/>
              </w:rPr>
              <w:t>622,4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F74A49">
              <w:rPr>
                <w:rFonts w:ascii="Arial" w:hAnsi="Arial" w:cs="Arial"/>
                <w:b/>
                <w:sz w:val="14"/>
                <w:szCs w:val="24"/>
              </w:rPr>
              <w:t>12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24"/>
              </w:rPr>
              <w:t>982,0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F74A49">
              <w:rPr>
                <w:rFonts w:ascii="Arial" w:hAnsi="Arial" w:cs="Arial"/>
                <w:b/>
                <w:sz w:val="14"/>
                <w:szCs w:val="2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24"/>
              </w:rPr>
              <w:t>776,0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24"/>
              </w:rPr>
            </w:pPr>
            <w:r w:rsidRPr="00F74A49">
              <w:rPr>
                <w:rFonts w:ascii="Arial" w:hAnsi="Arial" w:cs="Arial"/>
                <w:b/>
                <w:sz w:val="14"/>
                <w:szCs w:val="2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  <w:szCs w:val="24"/>
              </w:rPr>
              <w:t>483,0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284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B141C3">
              <w:rPr>
                <w:rFonts w:ascii="Arial" w:hAnsi="Arial" w:cs="Arial"/>
                <w:sz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324,0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956,9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0,2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552,5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 xml:space="preserve">культуру, кинематографию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610,1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144,5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485,9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здравоохранение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939,3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334,4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359,1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002,1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482,8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социальную политику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15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121,7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6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990,3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10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622,8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  <w:szCs w:val="24"/>
              </w:rPr>
              <w:t>319,8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0,1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физическую культуру </w:t>
            </w:r>
            <w:r w:rsidRPr="00B141C3">
              <w:rPr>
                <w:rFonts w:ascii="Arial" w:hAnsi="Arial" w:cs="Arial"/>
                <w:sz w:val="14"/>
              </w:rPr>
              <w:br/>
              <w:t>и спорт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400,7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75,3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363,2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средства массовой </w:t>
            </w:r>
            <w:r w:rsidRPr="00B141C3">
              <w:rPr>
                <w:rFonts w:ascii="Arial" w:hAnsi="Arial" w:cs="Arial"/>
                <w:sz w:val="14"/>
              </w:rPr>
              <w:br/>
              <w:t>информации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173,7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121,1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52,6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24"/>
              </w:rPr>
            </w:pPr>
            <w:r w:rsidRPr="00F74A49">
              <w:rPr>
                <w:rFonts w:ascii="Arial" w:hAnsi="Arial" w:cs="Arial"/>
                <w:sz w:val="14"/>
                <w:szCs w:val="2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right="227"/>
              <w:jc w:val="center"/>
              <w:rPr>
                <w:rFonts w:ascii="Arial" w:eastAsia="Arial Unicode MS" w:hAnsi="Arial" w:cs="Arial"/>
                <w:b/>
                <w:sz w:val="14"/>
              </w:rPr>
            </w:pPr>
            <w:r w:rsidRPr="00B141C3">
              <w:rPr>
                <w:rFonts w:ascii="Arial" w:eastAsia="Arial Unicode MS" w:hAnsi="Arial" w:cs="Arial"/>
                <w:b/>
                <w:sz w:val="14"/>
              </w:rPr>
              <w:t>2021 г.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rPr>
                <w:rFonts w:ascii="Arial" w:eastAsia="Arial Unicode MS" w:hAnsi="Arial" w:cs="Arial"/>
                <w:b/>
                <w:bCs/>
                <w:sz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F74A49">
              <w:rPr>
                <w:rFonts w:ascii="Arial" w:hAnsi="Arial" w:cs="Arial"/>
                <w:b/>
                <w:sz w:val="14"/>
              </w:rPr>
              <w:t>27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</w:rPr>
              <w:t>121,0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F74A49">
              <w:rPr>
                <w:rFonts w:ascii="Arial" w:hAnsi="Arial" w:cs="Arial"/>
                <w:b/>
                <w:sz w:val="14"/>
              </w:rPr>
              <w:t>9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</w:rPr>
              <w:t>545,8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F74A49">
              <w:rPr>
                <w:rFonts w:ascii="Arial" w:hAnsi="Arial" w:cs="Arial"/>
                <w:b/>
                <w:sz w:val="14"/>
              </w:rPr>
              <w:t>13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</w:rPr>
              <w:t>864,4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F74A49">
              <w:rPr>
                <w:rFonts w:ascii="Arial" w:hAnsi="Arial" w:cs="Arial"/>
                <w:b/>
                <w:sz w:val="14"/>
              </w:rPr>
              <w:t>10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</w:rPr>
              <w:t>358,1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F74A49">
              <w:rPr>
                <w:rFonts w:ascii="Arial" w:hAnsi="Arial" w:cs="Arial"/>
                <w:b/>
                <w:sz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b/>
                <w:sz w:val="14"/>
              </w:rPr>
              <w:t>796,0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284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B141C3">
              <w:rPr>
                <w:rFonts w:ascii="Arial" w:hAnsi="Arial" w:cs="Arial"/>
                <w:sz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</w:rPr>
            </w:pP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4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690,7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064,4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897,6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 xml:space="preserve">культуру, кинематографию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651,9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146,7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531,9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здравоохранение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5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167,3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473,9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568,1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027,3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2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795,9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eastAsia="Arial Unicode MS" w:hAnsi="Arial" w:cs="Arial"/>
                <w:sz w:val="14"/>
              </w:rPr>
            </w:pPr>
            <w:r w:rsidRPr="00B141C3">
              <w:rPr>
                <w:rFonts w:ascii="Arial" w:eastAsia="Arial Unicode MS" w:hAnsi="Arial" w:cs="Arial"/>
                <w:sz w:val="14"/>
              </w:rPr>
              <w:t>социальную политику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16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002,3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6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675,8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11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296,1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3</w:t>
            </w:r>
            <w:r w:rsidRPr="00F74A49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F74A49">
              <w:rPr>
                <w:rFonts w:ascii="Arial" w:hAnsi="Arial" w:cs="Arial"/>
                <w:sz w:val="14"/>
              </w:rPr>
              <w:t>445,0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0,1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физическую культуру </w:t>
            </w:r>
            <w:r w:rsidRPr="00B141C3">
              <w:rPr>
                <w:rFonts w:ascii="Arial" w:hAnsi="Arial" w:cs="Arial"/>
                <w:sz w:val="14"/>
              </w:rPr>
              <w:br/>
              <w:t>и спорт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437,5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70,9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398,8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</w:tr>
      <w:tr w:rsidR="00607958" w:rsidRPr="00B141C3" w:rsidTr="00E51D4B">
        <w:trPr>
          <w:cantSplit/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07958" w:rsidRPr="00B141C3" w:rsidRDefault="00607958" w:rsidP="00E51D4B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B141C3">
              <w:rPr>
                <w:rFonts w:ascii="Arial" w:hAnsi="Arial" w:cs="Arial"/>
                <w:sz w:val="14"/>
              </w:rPr>
              <w:t xml:space="preserve">средства массовой </w:t>
            </w:r>
            <w:r w:rsidRPr="00B141C3">
              <w:rPr>
                <w:rFonts w:ascii="Arial" w:hAnsi="Arial" w:cs="Arial"/>
                <w:sz w:val="14"/>
              </w:rPr>
              <w:br/>
              <w:t>информации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171,4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114,0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57,4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607958" w:rsidRPr="00F74A49" w:rsidRDefault="00607958" w:rsidP="00E51D4B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F74A49">
              <w:rPr>
                <w:rFonts w:ascii="Arial" w:hAnsi="Arial" w:cs="Arial"/>
                <w:sz w:val="14"/>
              </w:rPr>
              <w:t>–</w:t>
            </w:r>
          </w:p>
        </w:tc>
      </w:tr>
    </w:tbl>
    <w:p w:rsidR="00607958" w:rsidRPr="00B141C3" w:rsidRDefault="00607958" w:rsidP="00607958">
      <w:pPr>
        <w:spacing w:before="60"/>
        <w:ind w:left="113" w:hanging="113"/>
        <w:jc w:val="both"/>
        <w:rPr>
          <w:rFonts w:ascii="Arial" w:hAnsi="Arial" w:cs="Arial"/>
          <w:caps/>
          <w:sz w:val="12"/>
          <w:szCs w:val="12"/>
        </w:rPr>
      </w:pPr>
      <w:r w:rsidRPr="00B141C3">
        <w:rPr>
          <w:rFonts w:ascii="Arial" w:hAnsi="Arial" w:cs="Arial"/>
          <w:caps/>
          <w:sz w:val="12"/>
          <w:szCs w:val="12"/>
          <w:vertAlign w:val="superscript"/>
        </w:rPr>
        <w:t>1)</w:t>
      </w:r>
      <w:r w:rsidRPr="00B141C3">
        <w:rPr>
          <w:rFonts w:ascii="Arial" w:hAnsi="Arial" w:cs="Arial"/>
          <w:caps/>
          <w:sz w:val="12"/>
          <w:szCs w:val="12"/>
        </w:rPr>
        <w:t> </w:t>
      </w:r>
      <w:r w:rsidRPr="00B141C3">
        <w:rPr>
          <w:rFonts w:ascii="Arial" w:hAnsi="Arial" w:cs="Arial"/>
          <w:sz w:val="12"/>
          <w:szCs w:val="12"/>
        </w:rPr>
        <w:t>По данным Федерального казначейства. По методологии расчета, предусматривающей распределение межбю</w:t>
      </w:r>
      <w:r w:rsidRPr="00B141C3">
        <w:rPr>
          <w:rFonts w:ascii="Arial" w:hAnsi="Arial" w:cs="Arial"/>
          <w:sz w:val="12"/>
          <w:szCs w:val="12"/>
        </w:rPr>
        <w:t>д</w:t>
      </w:r>
      <w:r w:rsidRPr="00B141C3">
        <w:rPr>
          <w:rFonts w:ascii="Arial" w:hAnsi="Arial" w:cs="Arial"/>
          <w:sz w:val="12"/>
          <w:szCs w:val="12"/>
        </w:rPr>
        <w:t>жетных трансфертов по разделам и подразделам классификации расходов.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07958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2023-02-16T11:14:00Z</dcterms:modified>
</cp:coreProperties>
</file>