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B" w:rsidRPr="0072595A" w:rsidRDefault="00EF4E8B" w:rsidP="00EF4E8B">
      <w:pPr>
        <w:pStyle w:val="32"/>
        <w:keepNext w:val="0"/>
        <w:pageBreakBefore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Cs w:val="16"/>
        </w:rPr>
      </w:pPr>
      <w:r w:rsidRPr="0004751D">
        <w:rPr>
          <w:rFonts w:ascii="Arial" w:hAnsi="Arial" w:cs="Arial"/>
          <w:szCs w:val="16"/>
        </w:rPr>
        <w:t>3.2</w:t>
      </w:r>
      <w:r w:rsidRPr="0004751D">
        <w:rPr>
          <w:rFonts w:ascii="Arial" w:hAnsi="Arial" w:cs="Arial"/>
          <w:szCs w:val="16"/>
          <w:lang w:val="en-US"/>
        </w:rPr>
        <w:t>0</w:t>
      </w:r>
      <w:r w:rsidRPr="0004751D">
        <w:rPr>
          <w:rFonts w:ascii="Arial" w:hAnsi="Arial" w:cs="Arial"/>
          <w:szCs w:val="16"/>
        </w:rPr>
        <w:t xml:space="preserve">. ЗАДОЛЖЕННОСТЬ </w:t>
      </w:r>
      <w:r w:rsidRPr="0072595A">
        <w:rPr>
          <w:rFonts w:ascii="Arial" w:hAnsi="Arial" w:cs="Arial"/>
          <w:szCs w:val="16"/>
        </w:rPr>
        <w:t>ОРГАНИЗАЦИЙ</w:t>
      </w:r>
    </w:p>
    <w:p w:rsidR="00EF4E8B" w:rsidRPr="009C2106" w:rsidRDefault="00EF4E8B" w:rsidP="00EF4E8B">
      <w:pPr>
        <w:spacing w:after="60"/>
        <w:jc w:val="center"/>
        <w:rPr>
          <w:rFonts w:ascii="Arial" w:hAnsi="Arial" w:cs="Arial"/>
          <w:sz w:val="14"/>
        </w:rPr>
      </w:pPr>
      <w:r w:rsidRPr="009C2106">
        <w:rPr>
          <w:rFonts w:ascii="Arial" w:hAnsi="Arial" w:cs="Arial"/>
          <w:sz w:val="14"/>
        </w:rPr>
        <w:t>(миллиардов рублей)</w:t>
      </w:r>
    </w:p>
    <w:tbl>
      <w:tblPr>
        <w:tblW w:w="5000" w:type="pct"/>
        <w:jc w:val="center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1076"/>
        <w:gridCol w:w="1076"/>
        <w:gridCol w:w="1076"/>
      </w:tblGrid>
      <w:tr w:rsidR="00EF4E8B" w:rsidRPr="00531AC8" w:rsidTr="00906E7F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4E8B" w:rsidRPr="009C2106" w:rsidRDefault="00EF4E8B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E8B" w:rsidRPr="00531AC8" w:rsidRDefault="00EF4E8B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531AC8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E8B" w:rsidRPr="00531AC8" w:rsidRDefault="00EF4E8B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531AC8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E8B" w:rsidRPr="00531AC8" w:rsidRDefault="00EF4E8B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531AC8">
              <w:rPr>
                <w:rFonts w:ascii="Arial" w:hAnsi="Arial" w:cs="Arial"/>
                <w:sz w:val="14"/>
              </w:rPr>
              <w:t>2021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EF4E8B" w:rsidRPr="009C2106" w:rsidRDefault="00EF4E8B" w:rsidP="00906E7F">
            <w:pPr>
              <w:spacing w:before="24" w:line="140" w:lineRule="exact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Суммарная задолженность по обязательствам (кредиторская задолженность, задолженность </w:t>
            </w:r>
            <w:r>
              <w:rPr>
                <w:rFonts w:ascii="Arial" w:hAnsi="Arial" w:cs="Arial"/>
                <w:sz w:val="14"/>
              </w:rPr>
              <w:br/>
            </w:r>
            <w:r w:rsidRPr="009C2106">
              <w:rPr>
                <w:rFonts w:ascii="Arial" w:hAnsi="Arial" w:cs="Arial"/>
                <w:sz w:val="14"/>
              </w:rPr>
              <w:t xml:space="preserve">по кредитам банков и полученным займам) 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EF4E8B" w:rsidRPr="00531AC8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144,0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144 653,4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162 442,8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17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9C2106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647,8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4 866,5</w:t>
            </w:r>
          </w:p>
        </w:tc>
        <w:tc>
          <w:tcPr>
            <w:tcW w:w="1077" w:type="dxa"/>
            <w:vAlign w:val="bottom"/>
          </w:tcPr>
          <w:p w:rsidR="00EF4E8B" w:rsidRPr="00294A47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4 408,8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и</w:t>
            </w:r>
            <w:r w:rsidRPr="009C2106">
              <w:rPr>
                <w:rFonts w:ascii="Arial" w:hAnsi="Arial" w:cs="Arial"/>
                <w:sz w:val="14"/>
              </w:rPr>
              <w:t>з суммарной задолженности:</w:t>
            </w:r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bottom"/>
          </w:tcPr>
          <w:p w:rsidR="00EF4E8B" w:rsidRPr="00294A47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17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>кредиторская задолженность</w:t>
            </w:r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614,7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64 073,4</w:t>
            </w:r>
          </w:p>
        </w:tc>
        <w:tc>
          <w:tcPr>
            <w:tcW w:w="1077" w:type="dxa"/>
            <w:vAlign w:val="bottom"/>
          </w:tcPr>
          <w:p w:rsidR="00EF4E8B" w:rsidRPr="00294A47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76 121,</w:t>
            </w:r>
            <w:r w:rsidRPr="00294A47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9C2106">
              <w:rPr>
                <w:rFonts w:ascii="Arial" w:hAnsi="Arial" w:cs="Arial"/>
                <w:sz w:val="14"/>
              </w:rPr>
              <w:t>просроченная</w:t>
            </w:r>
            <w:proofErr w:type="gramEnd"/>
            <w:r w:rsidRPr="009C2106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898,2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3 967,0</w:t>
            </w:r>
          </w:p>
        </w:tc>
        <w:tc>
          <w:tcPr>
            <w:tcW w:w="1077" w:type="dxa"/>
            <w:vAlign w:val="bottom"/>
          </w:tcPr>
          <w:p w:rsidR="00EF4E8B" w:rsidRPr="00294A47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3 840,0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17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  <w:sz w:val="14"/>
              </w:rPr>
              <w:br/>
            </w:r>
            <w:r w:rsidRPr="009C2106">
              <w:rPr>
                <w:rFonts w:ascii="Arial" w:hAnsi="Arial" w:cs="Arial"/>
                <w:sz w:val="14"/>
              </w:rPr>
              <w:t>и полученным займам</w:t>
            </w:r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spacing w:before="2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529,3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80 580,0</w:t>
            </w:r>
          </w:p>
        </w:tc>
        <w:tc>
          <w:tcPr>
            <w:tcW w:w="1077" w:type="dxa"/>
            <w:vAlign w:val="bottom"/>
          </w:tcPr>
          <w:p w:rsidR="00EF4E8B" w:rsidRPr="00294A47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86 321,</w:t>
            </w:r>
            <w:r w:rsidRPr="00294A47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9C2106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077" w:type="dxa"/>
            <w:vAlign w:val="bottom"/>
          </w:tcPr>
          <w:p w:rsidR="00EF4E8B" w:rsidRPr="00531AC8" w:rsidRDefault="00EF4E8B" w:rsidP="00906E7F">
            <w:pPr>
              <w:spacing w:before="2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749,6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899,5</w:t>
            </w:r>
          </w:p>
        </w:tc>
        <w:tc>
          <w:tcPr>
            <w:tcW w:w="1077" w:type="dxa"/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568,8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tcBorders>
              <w:bottom w:val="nil"/>
            </w:tcBorders>
            <w:vAlign w:val="bottom"/>
          </w:tcPr>
          <w:p w:rsidR="00EF4E8B" w:rsidRPr="009C2106" w:rsidRDefault="00EF4E8B" w:rsidP="00906E7F">
            <w:pPr>
              <w:spacing w:before="24" w:line="140" w:lineRule="exact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>Дебиторская задолженность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F4E8B" w:rsidRPr="00531AC8" w:rsidRDefault="00EF4E8B" w:rsidP="00906E7F">
            <w:pPr>
              <w:spacing w:before="2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507,1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61 156,2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73 808,8</w:t>
            </w:r>
          </w:p>
        </w:tc>
      </w:tr>
      <w:tr w:rsidR="00EF4E8B" w:rsidRPr="00531AC8" w:rsidTr="00906E7F">
        <w:trPr>
          <w:cantSplit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EF4E8B" w:rsidRPr="009C2106" w:rsidRDefault="00EF4E8B" w:rsidP="00906E7F">
            <w:pPr>
              <w:spacing w:before="24" w:line="140" w:lineRule="exact"/>
              <w:ind w:left="340"/>
              <w:rPr>
                <w:rFonts w:ascii="Arial" w:hAnsi="Arial" w:cs="Arial"/>
                <w:sz w:val="14"/>
              </w:rPr>
            </w:pPr>
            <w:r w:rsidRPr="009C2106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9C2106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:rsidR="00EF4E8B" w:rsidRPr="00531AC8" w:rsidRDefault="00EF4E8B" w:rsidP="00906E7F">
            <w:pPr>
              <w:spacing w:before="2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531AC8">
              <w:rPr>
                <w:rFonts w:ascii="Arial" w:hAnsi="Arial" w:cs="Arial"/>
                <w:sz w:val="14"/>
                <w:szCs w:val="14"/>
              </w:rPr>
              <w:t>661,0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2 925,8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:rsidR="00EF4E8B" w:rsidRPr="00CC5D3C" w:rsidRDefault="00EF4E8B" w:rsidP="00906E7F">
            <w:pPr>
              <w:overflowPunct/>
              <w:spacing w:before="24" w:line="140" w:lineRule="exact"/>
              <w:ind w:right="284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3 062,9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4E8B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2">
    <w:name w:val="çàãîëîâîê 3"/>
    <w:basedOn w:val="a"/>
    <w:next w:val="a"/>
    <w:rsid w:val="00EF4E8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2">
    <w:name w:val="çàãîëîâîê 3"/>
    <w:basedOn w:val="a"/>
    <w:next w:val="a"/>
    <w:rsid w:val="00EF4E8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2023-02-15T12:57:00Z</dcterms:modified>
</cp:coreProperties>
</file>