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A" w:rsidRPr="006632B0" w:rsidRDefault="00CB753A" w:rsidP="00CB753A">
      <w:pPr>
        <w:pStyle w:val="ae"/>
        <w:pageBreakBefore/>
        <w:spacing w:after="60"/>
        <w:jc w:val="center"/>
        <w:rPr>
          <w:b/>
          <w:sz w:val="14"/>
        </w:rPr>
      </w:pPr>
      <w:r w:rsidRPr="00CB753A">
        <w:rPr>
          <w:b/>
          <w:sz w:val="16"/>
          <w:szCs w:val="16"/>
        </w:rPr>
        <w:t>4.5. ИНВЕСТИЦИИ В ОСНОВНОЙ КАПИТАЛ</w:t>
      </w:r>
      <w:r w:rsidRPr="00CB753A">
        <w:rPr>
          <w:b/>
          <w:sz w:val="16"/>
          <w:szCs w:val="16"/>
        </w:rPr>
        <w:br/>
        <w:t>ПО ИСТОЧНИКАМ ФИНАНСИРОВАНИЯ</w:t>
      </w:r>
      <w:proofErr w:type="gramStart"/>
      <w:r w:rsidRPr="00CB753A">
        <w:rPr>
          <w:b/>
          <w:sz w:val="16"/>
          <w:szCs w:val="16"/>
          <w:vertAlign w:val="superscript"/>
        </w:rPr>
        <w:t>1</w:t>
      </w:r>
      <w:proofErr w:type="gramEnd"/>
      <w:r w:rsidRPr="00CB753A">
        <w:rPr>
          <w:b/>
          <w:sz w:val="16"/>
          <w:szCs w:val="16"/>
          <w:vertAlign w:val="superscript"/>
        </w:rPr>
        <w:t>)</w:t>
      </w:r>
      <w:r w:rsidRPr="00CB753A">
        <w:rPr>
          <w:b/>
          <w:sz w:val="16"/>
          <w:szCs w:val="16"/>
        </w:rPr>
        <w:br/>
      </w:r>
      <w:r w:rsidRPr="006632B0">
        <w:rPr>
          <w:sz w:val="14"/>
        </w:rPr>
        <w:t>(в фактически действовавших ценах)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934"/>
        <w:gridCol w:w="934"/>
        <w:gridCol w:w="934"/>
        <w:gridCol w:w="933"/>
        <w:gridCol w:w="6"/>
      </w:tblGrid>
      <w:tr w:rsidR="00CB753A" w:rsidRPr="006632B0" w:rsidTr="00906E7F">
        <w:trPr>
          <w:jc w:val="center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</w:tcPr>
          <w:p w:rsidR="00CB753A" w:rsidRPr="00A14AC5" w:rsidRDefault="00CB753A" w:rsidP="00906E7F">
            <w:pPr>
              <w:pStyle w:val="ae"/>
              <w:spacing w:before="60" w:after="60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3A" w:rsidRPr="00A14AC5" w:rsidRDefault="00CB753A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A14AC5">
              <w:rPr>
                <w:rFonts w:ascii="Arial" w:hAnsi="Arial" w:cs="Arial"/>
                <w:color w:val="000000" w:themeColor="text1"/>
                <w:sz w:val="14"/>
              </w:rPr>
              <w:t>201</w:t>
            </w:r>
            <w:r w:rsidRPr="00A14AC5">
              <w:rPr>
                <w:rFonts w:ascii="Arial" w:hAnsi="Arial" w:cs="Arial"/>
                <w:color w:val="000000" w:themeColor="text1"/>
                <w:sz w:val="14"/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3A" w:rsidRPr="00A14AC5" w:rsidRDefault="00CB753A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A14AC5">
              <w:rPr>
                <w:rFonts w:ascii="Arial" w:hAnsi="Arial" w:cs="Arial"/>
                <w:color w:val="000000" w:themeColor="text1"/>
                <w:sz w:val="14"/>
              </w:rPr>
              <w:t>201</w:t>
            </w:r>
            <w:r w:rsidRPr="00A14AC5">
              <w:rPr>
                <w:rFonts w:ascii="Arial" w:hAnsi="Arial" w:cs="Arial"/>
                <w:color w:val="000000" w:themeColor="text1"/>
                <w:sz w:val="14"/>
                <w:lang w:val="en-US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3A" w:rsidRPr="00A14AC5" w:rsidRDefault="00CB753A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A14AC5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A14AC5">
              <w:rPr>
                <w:rFonts w:ascii="Arial" w:hAnsi="Arial" w:cs="Arial"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753A" w:rsidRPr="00A14AC5" w:rsidRDefault="00CB753A" w:rsidP="00906E7F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A14AC5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A14AC5">
              <w:rPr>
                <w:rFonts w:ascii="Arial" w:hAnsi="Arial" w:cs="Arial"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A14AC5" w:rsidRDefault="00CB753A" w:rsidP="00906E7F">
            <w:pPr>
              <w:pStyle w:val="ae"/>
              <w:spacing w:before="40" w:after="20"/>
              <w:jc w:val="left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3745" w:type="dxa"/>
            <w:gridSpan w:val="5"/>
            <w:tcBorders>
              <w:left w:val="single" w:sz="6" w:space="0" w:color="auto"/>
            </w:tcBorders>
            <w:vAlign w:val="bottom"/>
          </w:tcPr>
          <w:p w:rsidR="00CB753A" w:rsidRPr="00CB753A" w:rsidRDefault="00CB753A" w:rsidP="00CB753A">
            <w:pPr>
              <w:pStyle w:val="ae"/>
              <w:spacing w:before="40" w:after="20"/>
              <w:ind w:right="28"/>
              <w:jc w:val="center"/>
              <w:rPr>
                <w:b/>
                <w:color w:val="000000" w:themeColor="text1"/>
                <w:sz w:val="14"/>
              </w:rPr>
            </w:pPr>
            <w:r w:rsidRPr="00CB753A">
              <w:rPr>
                <w:b/>
                <w:color w:val="000000" w:themeColor="text1"/>
                <w:sz w:val="14"/>
              </w:rPr>
              <w:t>Миллиардов рублей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jc w:val="left"/>
              <w:rPr>
                <w:b/>
                <w:sz w:val="14"/>
              </w:rPr>
            </w:pPr>
            <w:r w:rsidRPr="00CB753A">
              <w:rPr>
                <w:b/>
                <w:sz w:val="14"/>
              </w:rPr>
              <w:t>Инвестиции в основной капитал</w:t>
            </w:r>
            <w:r w:rsidRPr="00CA6B61">
              <w:rPr>
                <w:sz w:val="14"/>
              </w:rPr>
              <w:t xml:space="preserve"> – всего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b/>
                <w:sz w:val="14"/>
                <w:szCs w:val="14"/>
              </w:rPr>
              <w:t>13</w:t>
            </w:r>
            <w:r w:rsidRPr="00CA6B61">
              <w:rPr>
                <w:rFonts w:ascii="Arial CYR" w:hAnsi="Arial CYR" w:cs="Arial CYR"/>
                <w:b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b/>
                <w:sz w:val="14"/>
                <w:szCs w:val="14"/>
              </w:rPr>
              <w:t>640,7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DC11E2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DC11E2">
              <w:rPr>
                <w:rFonts w:ascii="Arial CYR" w:hAnsi="Arial CYR" w:cs="Arial CYR"/>
                <w:b/>
                <w:sz w:val="14"/>
                <w:szCs w:val="14"/>
              </w:rPr>
              <w:t>14 725,4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DC11E2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DC11E2">
              <w:rPr>
                <w:rFonts w:ascii="Arial CYR" w:hAnsi="Arial CYR" w:cs="Arial CYR"/>
                <w:b/>
                <w:sz w:val="14"/>
                <w:szCs w:val="14"/>
              </w:rPr>
              <w:t>15 437,6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DC11E2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DC11E2">
              <w:rPr>
                <w:rFonts w:ascii="Arial CYR" w:hAnsi="Arial CYR" w:cs="Arial CYR"/>
                <w:b/>
                <w:sz w:val="14"/>
                <w:szCs w:val="14"/>
              </w:rPr>
              <w:t>17 690,3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в том числе: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17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собственные средства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</w:t>
            </w:r>
            <w:r w:rsidRPr="00CA6B61">
              <w:rPr>
                <w:rFonts w:ascii="Arial CYR" w:hAnsi="Arial CYR" w:cs="Arial CYR"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sz w:val="14"/>
                <w:szCs w:val="14"/>
              </w:rPr>
              <w:t>229,5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8 099,1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8 525,1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9 806,1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17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привлеченные средства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</w:t>
            </w:r>
            <w:r w:rsidRPr="00CA6B61">
              <w:rPr>
                <w:rFonts w:ascii="Arial CYR" w:hAnsi="Arial CYR" w:cs="Arial CYR"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sz w:val="14"/>
                <w:szCs w:val="14"/>
              </w:rPr>
              <w:t>411,2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6 626,3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6 912,5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7 884,2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sz w:val="14"/>
                <w:lang w:val="en-US"/>
              </w:rPr>
            </w:pPr>
            <w:r w:rsidRPr="00CA6B61">
              <w:rPr>
                <w:sz w:val="14"/>
              </w:rPr>
              <w:t>в том числе: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кредиты банков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CA6B61">
              <w:rPr>
                <w:rFonts w:ascii="Arial CYR" w:hAnsi="Arial CYR" w:cs="Arial CYR"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sz w:val="14"/>
                <w:szCs w:val="14"/>
              </w:rPr>
              <w:t>531,1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1 435,8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1 529,5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1 949,3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spacing w:val="-3"/>
                <w:sz w:val="14"/>
              </w:rPr>
            </w:pPr>
            <w:r w:rsidRPr="00CA6B61">
              <w:rPr>
                <w:spacing w:val="-3"/>
                <w:sz w:val="14"/>
              </w:rPr>
              <w:t>из них кредиты иностранных банков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604,6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292,8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270,8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334,3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spacing w:val="-3"/>
                <w:sz w:val="14"/>
              </w:rPr>
            </w:pPr>
            <w:r w:rsidRPr="00CA6B61">
              <w:rPr>
                <w:spacing w:val="-3"/>
                <w:sz w:val="14"/>
              </w:rPr>
              <w:t>заемные средства других организаций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582,9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709,2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750,2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797,9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инвестиции из-за рубежа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86,5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65,0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50,5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67,4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бюджетные средства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</w:t>
            </w:r>
            <w:r w:rsidRPr="00CA6B61">
              <w:rPr>
                <w:rFonts w:ascii="Arial CYR" w:hAnsi="Arial CYR" w:cs="Arial CYR"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sz w:val="14"/>
                <w:szCs w:val="14"/>
              </w:rPr>
              <w:t>085,8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2 385,0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2 950,7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3 225,5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68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 xml:space="preserve">в том числе </w:t>
            </w:r>
            <w:proofErr w:type="gramStart"/>
            <w:r w:rsidRPr="00CA6B61">
              <w:rPr>
                <w:sz w:val="14"/>
              </w:rPr>
              <w:t>из</w:t>
            </w:r>
            <w:proofErr w:type="gramEnd"/>
            <w:r w:rsidRPr="00CA6B61">
              <w:rPr>
                <w:sz w:val="14"/>
              </w:rPr>
              <w:t>: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>федерального бюджета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CA6B61">
              <w:rPr>
                <w:rFonts w:ascii="Arial CYR" w:hAnsi="Arial CYR" w:cs="Arial CYR"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sz w:val="14"/>
                <w:szCs w:val="14"/>
              </w:rPr>
              <w:t>033,4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1 124,7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1 338,5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1 412,7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spacing w:val="-4"/>
                <w:sz w:val="14"/>
              </w:rPr>
            </w:pPr>
            <w:r w:rsidRPr="00CA6B61">
              <w:rPr>
                <w:spacing w:val="-4"/>
                <w:sz w:val="14"/>
              </w:rPr>
              <w:t xml:space="preserve">бюджетов субъектов Российской </w:t>
            </w:r>
            <w:r w:rsidRPr="00CA6B61">
              <w:rPr>
                <w:spacing w:val="-4"/>
                <w:sz w:val="14"/>
              </w:rPr>
              <w:br/>
              <w:t>Федерации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902,1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1 091,7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1 430,1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1 595,8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spacing w:val="-4"/>
                <w:sz w:val="14"/>
              </w:rPr>
            </w:pPr>
            <w:r w:rsidRPr="00CA6B61">
              <w:rPr>
                <w:spacing w:val="-4"/>
                <w:sz w:val="14"/>
              </w:rPr>
              <w:t>местных бюджетов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150,3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168,6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182,1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217,0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sz w:val="14"/>
              </w:rPr>
            </w:pPr>
            <w:r w:rsidRPr="00CA6B61">
              <w:rPr>
                <w:sz w:val="14"/>
              </w:rPr>
              <w:t xml:space="preserve">средства внебюджетных фондов 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27,4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30,0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34,0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36,5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средства организаций и населения, привлеченные для долевого стро</w:t>
            </w:r>
            <w:r w:rsidRPr="00DC11E2">
              <w:rPr>
                <w:color w:val="000000" w:themeColor="text1"/>
                <w:sz w:val="14"/>
              </w:rPr>
              <w:t>и</w:t>
            </w:r>
            <w:r w:rsidRPr="00DC11E2">
              <w:rPr>
                <w:color w:val="000000" w:themeColor="text1"/>
                <w:sz w:val="14"/>
              </w:rPr>
              <w:t>тельства</w:t>
            </w:r>
            <w:proofErr w:type="gramStart"/>
            <w:r w:rsidRPr="00DC11E2">
              <w:rPr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DC11E2">
              <w:rPr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478,6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629,0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505,2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в том числе средства населения</w:t>
            </w:r>
            <w:proofErr w:type="gramStart"/>
            <w:r w:rsidRPr="00DC11E2">
              <w:rPr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DC11E2">
              <w:rPr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339,0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457,8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396,0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CB753A" w:rsidRPr="006632B0" w:rsidTr="00906E7F">
        <w:trPr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прочие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CA6B61">
              <w:rPr>
                <w:rFonts w:ascii="Arial CYR" w:hAnsi="Arial CYR" w:cs="Arial CYR"/>
                <w:sz w:val="14"/>
                <w:szCs w:val="14"/>
                <w:lang w:val="en-US"/>
              </w:rPr>
              <w:t xml:space="preserve"> </w:t>
            </w:r>
            <w:r w:rsidRPr="00CA6B61">
              <w:rPr>
                <w:rFonts w:ascii="Arial CYR" w:hAnsi="Arial CYR" w:cs="Arial CYR"/>
                <w:sz w:val="14"/>
                <w:szCs w:val="14"/>
              </w:rPr>
              <w:t>618,9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1 372,3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1 092,4</w:t>
            </w:r>
          </w:p>
        </w:tc>
        <w:tc>
          <w:tcPr>
            <w:tcW w:w="940" w:type="dxa"/>
            <w:gridSpan w:val="2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1 807,6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40" w:after="20"/>
              <w:jc w:val="left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3739" w:type="dxa"/>
            <w:gridSpan w:val="4"/>
            <w:tcBorders>
              <w:left w:val="single" w:sz="6" w:space="0" w:color="auto"/>
            </w:tcBorders>
            <w:vAlign w:val="bottom"/>
          </w:tcPr>
          <w:p w:rsidR="00CB753A" w:rsidRPr="00CB753A" w:rsidRDefault="00CB753A" w:rsidP="00CB753A">
            <w:pPr>
              <w:pStyle w:val="ae"/>
              <w:spacing w:before="40" w:after="20"/>
              <w:ind w:right="28"/>
              <w:jc w:val="center"/>
              <w:rPr>
                <w:b/>
                <w:sz w:val="14"/>
              </w:rPr>
            </w:pPr>
            <w:r w:rsidRPr="00CB753A">
              <w:rPr>
                <w:b/>
                <w:sz w:val="14"/>
              </w:rPr>
              <w:t>В процентах к итогу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jc w:val="left"/>
              <w:rPr>
                <w:b/>
                <w:color w:val="000000" w:themeColor="text1"/>
                <w:sz w:val="14"/>
              </w:rPr>
            </w:pPr>
            <w:bookmarkStart w:id="0" w:name="_GoBack" w:colFirst="1" w:colLast="4"/>
            <w:r w:rsidRPr="00CB753A">
              <w:rPr>
                <w:b/>
                <w:color w:val="000000" w:themeColor="text1"/>
                <w:sz w:val="14"/>
              </w:rPr>
              <w:t>Инвестиции в основной капитал</w:t>
            </w:r>
            <w:r w:rsidRPr="00DC11E2">
              <w:rPr>
                <w:color w:val="000000" w:themeColor="text1"/>
                <w:sz w:val="14"/>
              </w:rPr>
              <w:t xml:space="preserve"> – всего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B753A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  <w:r w:rsidRPr="00CB753A">
              <w:rPr>
                <w:b/>
                <w:sz w:val="14"/>
              </w:rPr>
              <w:t>100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B753A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  <w:r w:rsidRPr="00CB753A">
              <w:rPr>
                <w:b/>
                <w:sz w:val="14"/>
              </w:rPr>
              <w:t>100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B753A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  <w:r w:rsidRPr="00CB753A">
              <w:rPr>
                <w:b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B753A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  <w:r w:rsidRPr="00CB753A">
              <w:rPr>
                <w:b/>
                <w:sz w:val="14"/>
              </w:rPr>
              <w:t>100</w:t>
            </w:r>
          </w:p>
        </w:tc>
      </w:tr>
      <w:bookmarkEnd w:id="0"/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pStyle w:val="ae"/>
              <w:spacing w:before="50" w:line="140" w:lineRule="exact"/>
              <w:ind w:right="170"/>
              <w:jc w:val="right"/>
              <w:rPr>
                <w:b/>
                <w:sz w:val="14"/>
              </w:rPr>
            </w:pP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17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собственные средства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53,0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55,0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55,2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17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привлеченные средства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47,0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45,0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кредиты банков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9,8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color w:val="000000" w:themeColor="text1"/>
                <w:spacing w:val="-3"/>
                <w:sz w:val="14"/>
              </w:rPr>
            </w:pPr>
            <w:r w:rsidRPr="00DC11E2">
              <w:rPr>
                <w:color w:val="000000" w:themeColor="text1"/>
                <w:spacing w:val="-3"/>
                <w:sz w:val="14"/>
              </w:rPr>
              <w:t>из них кредиты иностранных банков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pacing w:val="-3"/>
                <w:sz w:val="14"/>
              </w:rPr>
            </w:pPr>
            <w:r w:rsidRPr="00DC11E2">
              <w:rPr>
                <w:color w:val="000000" w:themeColor="text1"/>
                <w:spacing w:val="-3"/>
                <w:sz w:val="14"/>
              </w:rPr>
              <w:t>заемные средства других организаций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инвестиции из-за рубежа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бюджетные средства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15,3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16,2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68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 xml:space="preserve">в том числе </w:t>
            </w:r>
            <w:proofErr w:type="gramStart"/>
            <w:r w:rsidRPr="00DC11E2">
              <w:rPr>
                <w:color w:val="000000" w:themeColor="text1"/>
                <w:sz w:val="14"/>
              </w:rPr>
              <w:t>из</w:t>
            </w:r>
            <w:proofErr w:type="gramEnd"/>
            <w:r w:rsidRPr="00DC11E2">
              <w:rPr>
                <w:color w:val="000000" w:themeColor="text1"/>
                <w:sz w:val="14"/>
              </w:rPr>
              <w:t>: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eastAsia="en-US"/>
              </w:rPr>
            </w:pP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федерального бюджета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color w:val="000000" w:themeColor="text1"/>
                <w:spacing w:val="-4"/>
                <w:sz w:val="14"/>
              </w:rPr>
            </w:pPr>
            <w:r w:rsidRPr="00DC11E2">
              <w:rPr>
                <w:color w:val="000000" w:themeColor="text1"/>
                <w:spacing w:val="-4"/>
                <w:sz w:val="14"/>
              </w:rPr>
              <w:t xml:space="preserve">бюджетов субъектов Российской </w:t>
            </w:r>
            <w:r w:rsidRPr="00DC11E2">
              <w:rPr>
                <w:color w:val="000000" w:themeColor="text1"/>
                <w:spacing w:val="-4"/>
                <w:sz w:val="14"/>
              </w:rPr>
              <w:br/>
              <w:t>Федерации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color w:val="000000" w:themeColor="text1"/>
                <w:spacing w:val="-4"/>
                <w:sz w:val="14"/>
              </w:rPr>
            </w:pPr>
            <w:r w:rsidRPr="00DC11E2">
              <w:rPr>
                <w:color w:val="000000" w:themeColor="text1"/>
                <w:spacing w:val="-4"/>
                <w:sz w:val="14"/>
              </w:rPr>
              <w:t>местных бюджетов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 xml:space="preserve">средства внебюджетных фондов 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средства организаций и населения, привлеченные для долевого стро</w:t>
            </w:r>
            <w:r w:rsidRPr="00DC11E2">
              <w:rPr>
                <w:color w:val="000000" w:themeColor="text1"/>
                <w:sz w:val="14"/>
              </w:rPr>
              <w:t>и</w:t>
            </w:r>
            <w:r w:rsidRPr="00DC11E2">
              <w:rPr>
                <w:color w:val="000000" w:themeColor="text1"/>
                <w:sz w:val="14"/>
              </w:rPr>
              <w:t>тельства</w:t>
            </w:r>
            <w:proofErr w:type="gramStart"/>
            <w:r w:rsidRPr="00DC11E2">
              <w:rPr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DC11E2">
              <w:rPr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51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в том числе средства населения</w:t>
            </w:r>
            <w:proofErr w:type="gramStart"/>
            <w:r w:rsidRPr="00DC11E2">
              <w:rPr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DC11E2">
              <w:rPr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935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CB753A" w:rsidRPr="00A14AC5" w:rsidTr="00906E7F">
        <w:trPr>
          <w:gridAfter w:val="1"/>
          <w:wAfter w:w="6" w:type="dxa"/>
          <w:jc w:val="center"/>
        </w:trPr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CB753A" w:rsidRPr="00DC11E2" w:rsidRDefault="00CB753A" w:rsidP="00906E7F">
            <w:pPr>
              <w:pStyle w:val="ae"/>
              <w:spacing w:before="50" w:line="140" w:lineRule="exact"/>
              <w:ind w:left="340"/>
              <w:jc w:val="left"/>
              <w:rPr>
                <w:b/>
                <w:color w:val="000000" w:themeColor="text1"/>
                <w:sz w:val="14"/>
              </w:rPr>
            </w:pPr>
            <w:r w:rsidRPr="00DC11E2">
              <w:rPr>
                <w:color w:val="000000" w:themeColor="text1"/>
                <w:sz w:val="14"/>
              </w:rPr>
              <w:t>прочие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9,3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6B61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B753A" w:rsidRPr="00CA6B61" w:rsidRDefault="00CB753A" w:rsidP="00906E7F">
            <w:pPr>
              <w:spacing w:before="5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A6B61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</w:tr>
    </w:tbl>
    <w:p w:rsidR="00CB753A" w:rsidRDefault="00CB753A" w:rsidP="00CB753A">
      <w:pPr>
        <w:pStyle w:val="ae"/>
        <w:spacing w:before="60"/>
        <w:ind w:left="142" w:hanging="142"/>
        <w:rPr>
          <w:b/>
          <w:bCs/>
          <w:szCs w:val="12"/>
        </w:rPr>
      </w:pPr>
      <w:r w:rsidRPr="00046518">
        <w:rPr>
          <w:bCs/>
          <w:szCs w:val="12"/>
          <w:vertAlign w:val="superscript"/>
        </w:rPr>
        <w:t>1)</w:t>
      </w:r>
      <w:r w:rsidRPr="00046518">
        <w:rPr>
          <w:bCs/>
          <w:szCs w:val="12"/>
        </w:rPr>
        <w:t> Без субъектов малого предпринимательства и объема инвестиций, не наблюдаемых прямыми статистическими методами.</w:t>
      </w:r>
    </w:p>
    <w:p w:rsidR="00CB753A" w:rsidRPr="00046518" w:rsidRDefault="00CB753A" w:rsidP="00CB753A">
      <w:pPr>
        <w:pStyle w:val="ae"/>
        <w:ind w:left="142" w:hanging="142"/>
        <w:rPr>
          <w:b/>
          <w:bCs/>
          <w:szCs w:val="12"/>
        </w:rPr>
      </w:pPr>
      <w:r w:rsidRPr="00046518">
        <w:rPr>
          <w:bCs/>
          <w:szCs w:val="12"/>
          <w:vertAlign w:val="superscript"/>
        </w:rPr>
        <w:t xml:space="preserve"> 2) </w:t>
      </w:r>
      <w:r w:rsidRPr="00046518">
        <w:rPr>
          <w:bCs/>
          <w:szCs w:val="12"/>
        </w:rPr>
        <w:t>С 2021г. статистическое наблюдение не ведется.</w:t>
      </w:r>
    </w:p>
    <w:sectPr w:rsidR="00CB753A" w:rsidRPr="00046518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B753A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2023-02-15T14:24:00Z</dcterms:modified>
</cp:coreProperties>
</file>