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C" w:rsidRPr="00F4701D" w:rsidRDefault="0077421C" w:rsidP="0077421C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F4701D">
        <w:rPr>
          <w:rFonts w:ascii="Arial" w:hAnsi="Arial" w:cs="Arial"/>
          <w:b/>
          <w:sz w:val="16"/>
          <w:szCs w:val="16"/>
        </w:rPr>
        <w:t>6.12. ИНДЕКСЫ РЕАЛЬНОГО КУРСА РУБЛЯ К ДОЛЛАРУ США И ЕВРО</w:t>
      </w:r>
      <w:proofErr w:type="gramStart"/>
      <w:r w:rsidRPr="00F4701D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F4701D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F4701D">
        <w:rPr>
          <w:rFonts w:ascii="Arial" w:hAnsi="Arial" w:cs="Arial"/>
          <w:b/>
          <w:sz w:val="14"/>
          <w:szCs w:val="14"/>
          <w:vertAlign w:val="superscript"/>
        </w:rPr>
        <w:br/>
      </w:r>
      <w:r w:rsidRPr="00F4701D">
        <w:rPr>
          <w:rFonts w:ascii="Arial" w:hAnsi="Arial" w:cs="Arial"/>
          <w:sz w:val="14"/>
          <w:szCs w:val="14"/>
        </w:rPr>
        <w:t>(по данным Банка России; в процентах)</w:t>
      </w:r>
    </w:p>
    <w:tbl>
      <w:tblPr>
        <w:tblW w:w="5000" w:type="pct"/>
        <w:jc w:val="center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1221"/>
        <w:gridCol w:w="1221"/>
        <w:gridCol w:w="1221"/>
        <w:gridCol w:w="1221"/>
      </w:tblGrid>
      <w:tr w:rsidR="0077421C" w:rsidRPr="004D711C" w:rsidTr="00FB3763">
        <w:trPr>
          <w:cantSplit/>
          <w:jc w:val="center"/>
        </w:trPr>
        <w:tc>
          <w:tcPr>
            <w:tcW w:w="17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>Доллар США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>Евро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4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Прирост (снижение) </w:t>
            </w:r>
            <w:proofErr w:type="gramStart"/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>к</w:t>
            </w:r>
            <w:proofErr w:type="gramEnd"/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предыдущему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периоду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декабрю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 xml:space="preserve">предыдущего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года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предыдущему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периоду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421C" w:rsidRPr="004D711C" w:rsidRDefault="0077421C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декабрю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 xml:space="preserve">предыдущего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года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8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-1,0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-0,3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-7,9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-5,0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-5,3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-10,4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-2,8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-8,0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-10,6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-6,8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-6,3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-9,8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88" w:type="dxa"/>
            <w:gridSpan w:val="4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4,6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6,7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7,4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-0,9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21C" w:rsidRPr="003005D6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4,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7421C" w:rsidRPr="004D711C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888" w:type="dxa"/>
            <w:gridSpan w:val="4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-2,7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-4,3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-1,9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-3,1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-6,3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-10,4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-7,4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-10,3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-2,4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-12,5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-6,9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-16,5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-3,0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-15,1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-4,1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-20,0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3005D6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-7,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-9,2</w:t>
            </w:r>
          </w:p>
        </w:tc>
        <w:tc>
          <w:tcPr>
            <w:tcW w:w="1222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888" w:type="dxa"/>
            <w:gridSpan w:val="4"/>
            <w:tcBorders>
              <w:left w:val="single" w:sz="6" w:space="0" w:color="auto"/>
              <w:right w:val="nil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5,7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right w:val="single" w:sz="6" w:space="0" w:color="auto"/>
            </w:tcBorders>
            <w:vAlign w:val="bottom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1222" w:type="dxa"/>
            <w:tcBorders>
              <w:left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11,3</w:t>
            </w:r>
          </w:p>
        </w:tc>
      </w:tr>
      <w:tr w:rsidR="0077421C" w:rsidRPr="004D711C" w:rsidTr="00FB3763">
        <w:trPr>
          <w:cantSplit/>
          <w:jc w:val="center"/>
        </w:trPr>
        <w:tc>
          <w:tcPr>
            <w:tcW w:w="17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421C" w:rsidRPr="004D711C" w:rsidRDefault="0077421C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-0,6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-2,2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7421C" w:rsidRPr="0093110B" w:rsidRDefault="0077421C" w:rsidP="00FB3763">
            <w:pPr>
              <w:spacing w:before="120" w:line="180" w:lineRule="exact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110B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</w:tbl>
    <w:p w:rsidR="0077421C" w:rsidRPr="004D711C" w:rsidRDefault="0077421C" w:rsidP="0077421C">
      <w:pPr>
        <w:spacing w:before="6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4D711C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4D711C">
        <w:rPr>
          <w:rFonts w:ascii="Arial" w:hAnsi="Arial" w:cs="Arial"/>
          <w:color w:val="000000" w:themeColor="text1"/>
          <w:sz w:val="12"/>
          <w:szCs w:val="12"/>
        </w:rPr>
        <w:t> Знак «+» означает укрепление рубля к иностранным валютам</w:t>
      </w:r>
      <w:proofErr w:type="gramStart"/>
      <w:r w:rsidRPr="004D711C">
        <w:rPr>
          <w:rFonts w:ascii="Arial" w:hAnsi="Arial" w:cs="Arial"/>
          <w:color w:val="000000" w:themeColor="text1"/>
          <w:sz w:val="12"/>
          <w:szCs w:val="12"/>
        </w:rPr>
        <w:t>, «</w:t>
      </w:r>
      <w:proofErr w:type="gramEnd"/>
      <w:r w:rsidRPr="004D711C">
        <w:rPr>
          <w:rFonts w:ascii="Arial" w:hAnsi="Arial" w:cs="Arial"/>
          <w:color w:val="000000" w:themeColor="text1"/>
          <w:sz w:val="12"/>
          <w:szCs w:val="12"/>
        </w:rPr>
        <w:t>-» – обесценение рубля к иностранным валютам.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7421C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2023-02-16T10:36:00Z</dcterms:modified>
</cp:coreProperties>
</file>