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DE" w:rsidRPr="00717F47" w:rsidRDefault="007E2DDE" w:rsidP="007E2DDE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after="120"/>
        <w:jc w:val="center"/>
        <w:rPr>
          <w:rFonts w:ascii="Arial" w:hAnsi="Arial" w:cs="Arial"/>
          <w:b/>
          <w:sz w:val="16"/>
        </w:rPr>
      </w:pPr>
      <w:r w:rsidRPr="00717F47">
        <w:rPr>
          <w:rFonts w:ascii="Arial" w:hAnsi="Arial" w:cs="Arial"/>
          <w:b/>
          <w:spacing w:val="-6"/>
          <w:sz w:val="16"/>
        </w:rPr>
        <w:t xml:space="preserve">7.1. </w:t>
      </w:r>
      <w:r w:rsidRPr="00717F47">
        <w:rPr>
          <w:rFonts w:ascii="Arial" w:hAnsi="Arial" w:cs="Arial"/>
          <w:b/>
          <w:sz w:val="16"/>
        </w:rPr>
        <w:t xml:space="preserve">ДОХОДЫ И РАСХОДЫ ГОСУДАРСТВЕННОГО (КОНСОЛИДИРОВАННОГО) </w:t>
      </w:r>
      <w:r w:rsidRPr="00717F47">
        <w:rPr>
          <w:rFonts w:ascii="Arial" w:hAnsi="Arial" w:cs="Arial"/>
          <w:b/>
          <w:sz w:val="16"/>
        </w:rPr>
        <w:br/>
        <w:t>БЮДЖЕТА</w:t>
      </w:r>
      <w:r w:rsidRPr="00717F47">
        <w:rPr>
          <w:rFonts w:ascii="Arial" w:hAnsi="Arial" w:cs="Arial"/>
          <w:b/>
          <w:sz w:val="16"/>
        </w:rPr>
        <w:br/>
      </w:r>
      <w:r w:rsidRPr="00717F47">
        <w:rPr>
          <w:rFonts w:ascii="Arial" w:hAnsi="Arial" w:cs="Arial"/>
          <w:sz w:val="14"/>
        </w:rPr>
        <w:t>(миллиардов единиц национальной валюты)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1152"/>
        <w:gridCol w:w="549"/>
        <w:gridCol w:w="549"/>
        <w:gridCol w:w="549"/>
        <w:gridCol w:w="550"/>
        <w:gridCol w:w="549"/>
        <w:gridCol w:w="549"/>
        <w:gridCol w:w="549"/>
        <w:gridCol w:w="550"/>
      </w:tblGrid>
      <w:tr w:rsidR="007E2DDE" w:rsidRPr="00DE22B3" w:rsidTr="000814AB">
        <w:trPr>
          <w:cantSplit/>
          <w:jc w:val="center"/>
        </w:trPr>
        <w:tc>
          <w:tcPr>
            <w:tcW w:w="108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DE" w:rsidRPr="00DE22B3" w:rsidRDefault="007E2DDE" w:rsidP="000814AB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DE" w:rsidRPr="00DE22B3" w:rsidRDefault="007E2DDE" w:rsidP="000814AB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Валюта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DE" w:rsidRPr="00DE22B3" w:rsidRDefault="007E2DDE" w:rsidP="000814AB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DE" w:rsidRPr="00DE22B3" w:rsidRDefault="007E2DDE" w:rsidP="000814AB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2DDE" w:rsidRPr="00DE22B3" w:rsidRDefault="007E2DDE" w:rsidP="000814AB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2DDE" w:rsidRPr="00DE22B3" w:rsidRDefault="007E2DDE" w:rsidP="000814AB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2021</w:t>
            </w:r>
          </w:p>
        </w:tc>
      </w:tr>
      <w:tr w:rsidR="007E2DDE" w:rsidRPr="00DE22B3" w:rsidTr="000814AB">
        <w:trPr>
          <w:cantSplit/>
          <w:jc w:val="center"/>
        </w:trPr>
        <w:tc>
          <w:tcPr>
            <w:tcW w:w="10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DE" w:rsidRPr="00DE22B3" w:rsidRDefault="007E2DDE" w:rsidP="000814AB">
            <w:pPr>
              <w:spacing w:after="40"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DE" w:rsidRPr="00DE22B3" w:rsidRDefault="007E2DDE" w:rsidP="000814AB">
            <w:pPr>
              <w:spacing w:after="40"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DE" w:rsidRPr="00DE22B3" w:rsidRDefault="007E2DDE" w:rsidP="000814AB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Доходы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DE" w:rsidRPr="00DE22B3" w:rsidRDefault="007E2DDE" w:rsidP="000814AB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Расходы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DE" w:rsidRPr="00DE22B3" w:rsidRDefault="007E2DDE" w:rsidP="000814AB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Доходы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DE" w:rsidRPr="00DE22B3" w:rsidRDefault="007E2DDE" w:rsidP="000814AB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Расходы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2DDE" w:rsidRPr="00DE22B3" w:rsidRDefault="007E2DDE" w:rsidP="000814AB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Доходы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2DDE" w:rsidRPr="00DE22B3" w:rsidRDefault="007E2DDE" w:rsidP="000814AB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Расходы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2DDE" w:rsidRPr="00DE22B3" w:rsidRDefault="007E2DDE" w:rsidP="000814AB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Доходы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2DDE" w:rsidRPr="00DE22B3" w:rsidRDefault="007E2DDE" w:rsidP="000814AB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Расходы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</w:tcBorders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>Россия</w:t>
            </w:r>
            <w:proofErr w:type="gramStart"/>
            <w:r w:rsidRPr="00B44474">
              <w:rPr>
                <w:rFonts w:cs="Arial"/>
                <w:sz w:val="13"/>
                <w:szCs w:val="13"/>
                <w:vertAlign w:val="superscript"/>
              </w:rPr>
              <w:t>1</w:t>
            </w:r>
            <w:proofErr w:type="gramEnd"/>
            <w:r w:rsidRPr="00B44474">
              <w:rPr>
                <w:rFonts w:cs="Arial"/>
                <w:sz w:val="13"/>
                <w:szCs w:val="13"/>
                <w:vertAlign w:val="superscript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российский рубль</w:t>
            </w:r>
          </w:p>
        </w:tc>
        <w:tc>
          <w:tcPr>
            <w:tcW w:w="54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37 320,4</w:t>
            </w:r>
          </w:p>
        </w:tc>
        <w:tc>
          <w:tcPr>
            <w:tcW w:w="54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34 284,7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39 497,6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37</w:t>
            </w:r>
            <w:r w:rsidRPr="00B44474">
              <w:rPr>
                <w:rFonts w:ascii="Arial" w:hAnsi="Arial" w:cs="Arial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382,2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38 205,7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42 503,0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48 118,4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47 072,7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>Австрия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евро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188,3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185,6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195,3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190,5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184,8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213,9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113" w:hanging="113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>Азербайджан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 xml:space="preserve">азербайджанский </w:t>
            </w:r>
            <w:proofErr w:type="spellStart"/>
            <w:r w:rsidRPr="00B44474">
              <w:rPr>
                <w:rFonts w:ascii="Arial" w:hAnsi="Arial" w:cs="Arial"/>
                <w:sz w:val="13"/>
                <w:szCs w:val="13"/>
              </w:rPr>
              <w:t>манат</w:t>
            </w:r>
            <w:proofErr w:type="spellEnd"/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22,5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22,7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24,4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24,4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26,1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26,4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26,6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27,4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113" w:hanging="113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>Армения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B44474">
              <w:rPr>
                <w:rFonts w:ascii="Arial" w:hAnsi="Arial" w:cs="Arial"/>
                <w:sz w:val="13"/>
                <w:szCs w:val="13"/>
              </w:rPr>
              <w:t>армянский</w:t>
            </w:r>
            <w:proofErr w:type="gramEnd"/>
            <w:r w:rsidRPr="00B44474">
              <w:rPr>
                <w:rFonts w:ascii="Arial" w:hAnsi="Arial" w:cs="Arial"/>
                <w:sz w:val="13"/>
                <w:szCs w:val="13"/>
              </w:rPr>
              <w:t xml:space="preserve"> драм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341,7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447,1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565,5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1 629,4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560,7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894,3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683,8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988,0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-57" w:right="40"/>
              <w:jc w:val="right"/>
              <w:rPr>
                <w:rFonts w:ascii="Arial" w:hAnsi="Arial" w:cs="Arial"/>
                <w:sz w:val="13"/>
                <w:szCs w:val="13"/>
                <w:vertAlign w:val="superscript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-57" w:right="40"/>
              <w:jc w:val="right"/>
              <w:rPr>
                <w:rFonts w:ascii="Arial" w:hAnsi="Arial" w:cs="Arial"/>
                <w:sz w:val="13"/>
                <w:szCs w:val="13"/>
                <w:vertAlign w:val="superscript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-57" w:right="40"/>
              <w:jc w:val="right"/>
              <w:rPr>
                <w:rFonts w:ascii="Arial" w:hAnsi="Arial" w:cs="Arial"/>
                <w:sz w:val="13"/>
                <w:szCs w:val="13"/>
                <w:vertAlign w:val="superscript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-57" w:right="40"/>
              <w:jc w:val="right"/>
              <w:rPr>
                <w:rFonts w:ascii="Arial" w:hAnsi="Arial" w:cs="Arial"/>
                <w:sz w:val="13"/>
                <w:szCs w:val="13"/>
                <w:vertAlign w:val="superscript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-57" w:right="40"/>
              <w:jc w:val="right"/>
              <w:rPr>
                <w:rFonts w:ascii="Arial" w:hAnsi="Arial" w:cs="Arial"/>
                <w:sz w:val="13"/>
                <w:szCs w:val="13"/>
                <w:vertAlign w:val="superscript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-57" w:right="40"/>
              <w:jc w:val="right"/>
              <w:rPr>
                <w:rFonts w:ascii="Arial" w:hAnsi="Arial" w:cs="Arial"/>
                <w:sz w:val="13"/>
                <w:szCs w:val="13"/>
                <w:vertAlign w:val="superscript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-57" w:right="40"/>
              <w:jc w:val="right"/>
              <w:rPr>
                <w:rFonts w:ascii="Arial" w:hAnsi="Arial" w:cs="Arial"/>
                <w:sz w:val="13"/>
                <w:szCs w:val="13"/>
                <w:vertAlign w:val="superscript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-57" w:right="40"/>
              <w:jc w:val="right"/>
              <w:rPr>
                <w:rFonts w:ascii="Arial" w:hAnsi="Arial" w:cs="Arial"/>
                <w:sz w:val="13"/>
                <w:szCs w:val="13"/>
                <w:vertAlign w:val="superscript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>Беларусь</w:t>
            </w:r>
            <w:proofErr w:type="gramStart"/>
            <w:r w:rsidRPr="00B44474">
              <w:rPr>
                <w:rFonts w:cs="Arial"/>
                <w:sz w:val="13"/>
                <w:szCs w:val="13"/>
                <w:vertAlign w:val="superscript"/>
              </w:rPr>
              <w:t>2</w:t>
            </w:r>
            <w:proofErr w:type="gramEnd"/>
            <w:r w:rsidRPr="00B44474">
              <w:rPr>
                <w:rFonts w:cs="Arial"/>
                <w:sz w:val="13"/>
                <w:szCs w:val="13"/>
                <w:vertAlign w:val="superscript"/>
              </w:rPr>
              <w:t>)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белорусский рубль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-57"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37,7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-57"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33,1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-57"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39,1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-57"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36,0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-57"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39,3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-57"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42,0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-57"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46,8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-57"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46,9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>Бельгия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евро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233,1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235,0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235,4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242,5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225,6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265,2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113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>Венгрия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форинт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18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906,4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18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767,5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20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497,6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20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192,3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20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698,2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22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870,8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113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>Германия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евро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537,5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471,3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593,8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539,6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546,6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683,9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pStyle w:val="12"/>
              <w:spacing w:before="8" w:line="140" w:lineRule="exact"/>
              <w:ind w:left="113" w:hanging="113"/>
              <w:rPr>
                <w:rFonts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Дания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датская крона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156,1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124,3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242,0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136,9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240,5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226,2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</w:tcPr>
          <w:p w:rsidR="007E2DDE" w:rsidRPr="00B44474" w:rsidRDefault="007E2DDE" w:rsidP="000814AB">
            <w:pPr>
              <w:spacing w:before="8" w:line="140" w:lineRule="exac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Италия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евро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808,2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857,6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832,6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867,4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775,6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939,1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113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>Казахстан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тенге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pacing w:val="-6"/>
                <w:sz w:val="13"/>
                <w:szCs w:val="13"/>
              </w:rPr>
            </w:pPr>
            <w:r w:rsidRPr="00B44474">
              <w:rPr>
                <w:rFonts w:ascii="Arial" w:hAnsi="Arial" w:cs="Arial"/>
                <w:spacing w:val="-6"/>
                <w:sz w:val="13"/>
                <w:szCs w:val="13"/>
              </w:rPr>
              <w:t>13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pacing w:val="-6"/>
                <w:sz w:val="13"/>
                <w:szCs w:val="13"/>
              </w:rPr>
              <w:t>275,7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pacing w:val="-6"/>
                <w:sz w:val="13"/>
                <w:szCs w:val="13"/>
              </w:rPr>
            </w:pPr>
            <w:r w:rsidRPr="00B44474">
              <w:rPr>
                <w:rFonts w:ascii="Arial" w:hAnsi="Arial" w:cs="Arial"/>
                <w:spacing w:val="-6"/>
                <w:sz w:val="13"/>
                <w:szCs w:val="13"/>
              </w:rPr>
              <w:t>11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pacing w:val="-6"/>
                <w:sz w:val="13"/>
                <w:szCs w:val="13"/>
              </w:rPr>
              <w:t>527,0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pacing w:val="-6"/>
                <w:sz w:val="13"/>
                <w:szCs w:val="13"/>
              </w:rPr>
            </w:pPr>
            <w:r w:rsidRPr="00B44474">
              <w:rPr>
                <w:rFonts w:ascii="Arial" w:hAnsi="Arial" w:cs="Arial"/>
                <w:spacing w:val="-6"/>
                <w:sz w:val="13"/>
                <w:szCs w:val="13"/>
              </w:rPr>
              <w:t>13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pacing w:val="-6"/>
                <w:sz w:val="13"/>
                <w:szCs w:val="13"/>
              </w:rPr>
              <w:t>733,5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pacing w:val="-6"/>
                <w:sz w:val="13"/>
                <w:szCs w:val="13"/>
              </w:rPr>
            </w:pPr>
            <w:r w:rsidRPr="00B44474">
              <w:rPr>
                <w:rFonts w:ascii="Arial" w:hAnsi="Arial" w:cs="Arial"/>
                <w:spacing w:val="-6"/>
                <w:sz w:val="13"/>
                <w:szCs w:val="13"/>
              </w:rPr>
              <w:t>13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pacing w:val="-6"/>
                <w:sz w:val="13"/>
                <w:szCs w:val="13"/>
              </w:rPr>
              <w:t>798,5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pacing w:val="-6"/>
                <w:sz w:val="13"/>
                <w:szCs w:val="13"/>
              </w:rPr>
            </w:pPr>
            <w:r w:rsidRPr="00B44474">
              <w:rPr>
                <w:rFonts w:ascii="Arial" w:hAnsi="Arial" w:cs="Arial"/>
                <w:spacing w:val="-6"/>
                <w:sz w:val="13"/>
                <w:szCs w:val="13"/>
              </w:rPr>
              <w:t>14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pacing w:val="-6"/>
                <w:sz w:val="13"/>
                <w:szCs w:val="13"/>
              </w:rPr>
              <w:t>733,8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pacing w:val="-6"/>
                <w:sz w:val="13"/>
                <w:szCs w:val="13"/>
              </w:rPr>
            </w:pPr>
            <w:r w:rsidRPr="00B44474">
              <w:rPr>
                <w:rFonts w:ascii="Arial" w:hAnsi="Arial" w:cs="Arial"/>
                <w:spacing w:val="-6"/>
                <w:sz w:val="13"/>
                <w:szCs w:val="13"/>
              </w:rPr>
              <w:t>16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pacing w:val="-6"/>
                <w:sz w:val="13"/>
                <w:szCs w:val="13"/>
              </w:rPr>
              <w:t>987,1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pacing w:val="-6"/>
                <w:sz w:val="13"/>
                <w:szCs w:val="13"/>
              </w:rPr>
            </w:pPr>
            <w:r w:rsidRPr="00B44474">
              <w:rPr>
                <w:rFonts w:ascii="Arial" w:hAnsi="Arial" w:cs="Arial"/>
                <w:spacing w:val="-6"/>
                <w:sz w:val="13"/>
                <w:szCs w:val="13"/>
              </w:rPr>
              <w:t>14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pacing w:val="-6"/>
                <w:sz w:val="13"/>
                <w:szCs w:val="13"/>
              </w:rPr>
              <w:t>781,3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pacing w:val="-6"/>
                <w:sz w:val="13"/>
                <w:szCs w:val="13"/>
              </w:rPr>
            </w:pPr>
            <w:r w:rsidRPr="00B44474">
              <w:rPr>
                <w:rFonts w:ascii="Arial" w:hAnsi="Arial" w:cs="Arial"/>
                <w:spacing w:val="-6"/>
                <w:sz w:val="13"/>
                <w:szCs w:val="13"/>
              </w:rPr>
              <w:t>18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pacing w:val="-6"/>
                <w:sz w:val="13"/>
                <w:szCs w:val="13"/>
              </w:rPr>
              <w:t>219,2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113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>Канада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 xml:space="preserve">канадский </w:t>
            </w:r>
            <w:r w:rsidRPr="00B44474">
              <w:rPr>
                <w:rFonts w:ascii="Arial" w:hAnsi="Arial" w:cs="Arial"/>
                <w:sz w:val="13"/>
                <w:szCs w:val="13"/>
              </w:rPr>
              <w:br/>
              <w:t>доллар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918,3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894,7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941,0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933,6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920,5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155,5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025,0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133,1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>Киргизия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сом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151,6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129,1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167,4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136,1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152,1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171,9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209,9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211,6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113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Нидерланды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евро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331,8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320,9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349,3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334,5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344,7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376,8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113" w:hanging="113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Польша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злотый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876,0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830,9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941,0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912,3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966,3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080,9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 xml:space="preserve">Республика </w:t>
            </w:r>
            <w:r>
              <w:rPr>
                <w:rFonts w:cs="Arial"/>
                <w:sz w:val="13"/>
                <w:szCs w:val="13"/>
              </w:rPr>
              <w:br/>
            </w:r>
            <w:r w:rsidRPr="00B44474">
              <w:rPr>
                <w:rFonts w:cs="Arial"/>
                <w:sz w:val="13"/>
                <w:szCs w:val="13"/>
              </w:rPr>
              <w:t xml:space="preserve">Молдова 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молдавский лей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58,0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59,6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62,9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66,0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62,7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73,3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77,4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82,0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271F35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 xml:space="preserve">Соединенное </w:t>
            </w:r>
            <w:r w:rsidRPr="00271F35">
              <w:rPr>
                <w:rFonts w:cs="Arial"/>
                <w:sz w:val="13"/>
                <w:szCs w:val="13"/>
              </w:rPr>
              <w:br/>
            </w:r>
            <w:r w:rsidRPr="00B44474">
              <w:rPr>
                <w:rFonts w:ascii="Arial" w:hAnsi="Arial" w:cs="Arial"/>
                <w:sz w:val="13"/>
                <w:szCs w:val="13"/>
              </w:rPr>
              <w:t xml:space="preserve">Королевство 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B44474">
              <w:rPr>
                <w:rFonts w:ascii="Arial" w:hAnsi="Arial" w:cs="Arial"/>
                <w:sz w:val="13"/>
                <w:szCs w:val="13"/>
              </w:rPr>
              <w:t>(</w:t>
            </w:r>
            <w:r w:rsidRPr="00271F35">
              <w:rPr>
                <w:rFonts w:ascii="Arial" w:hAnsi="Arial" w:cs="Arial"/>
                <w:spacing w:val="-4"/>
                <w:sz w:val="13"/>
                <w:szCs w:val="13"/>
              </w:rPr>
              <w:t>Великобритания)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 xml:space="preserve">фунт </w:t>
            </w:r>
            <w:r w:rsidRPr="00271F35">
              <w:rPr>
                <w:rFonts w:ascii="Arial" w:hAnsi="Arial" w:cs="Arial"/>
                <w:sz w:val="13"/>
                <w:szCs w:val="13"/>
              </w:rPr>
              <w:br/>
            </w:r>
            <w:r w:rsidRPr="00B44474">
              <w:rPr>
                <w:rFonts w:ascii="Arial" w:hAnsi="Arial" w:cs="Arial"/>
                <w:sz w:val="13"/>
                <w:szCs w:val="13"/>
              </w:rPr>
              <w:t>стерлингов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271F35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71F35">
              <w:rPr>
                <w:rFonts w:ascii="Arial" w:hAnsi="Arial" w:cs="Arial"/>
                <w:sz w:val="13"/>
                <w:szCs w:val="13"/>
              </w:rPr>
              <w:t>794,6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271F35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71F35">
              <w:rPr>
                <w:rFonts w:ascii="Arial" w:hAnsi="Arial" w:cs="Arial"/>
                <w:sz w:val="13"/>
                <w:szCs w:val="13"/>
              </w:rPr>
              <w:t>875,4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271F35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71F35">
              <w:rPr>
                <w:rFonts w:ascii="Arial" w:hAnsi="Arial" w:cs="Arial"/>
                <w:sz w:val="13"/>
                <w:szCs w:val="13"/>
              </w:rPr>
              <w:t>816,9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271F35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71F35">
              <w:rPr>
                <w:rFonts w:ascii="Arial" w:hAnsi="Arial" w:cs="Arial"/>
                <w:sz w:val="13"/>
                <w:szCs w:val="13"/>
              </w:rPr>
              <w:t>891,5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271F35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71F35">
              <w:rPr>
                <w:rFonts w:ascii="Arial" w:hAnsi="Arial" w:cs="Arial"/>
                <w:sz w:val="13"/>
                <w:szCs w:val="13"/>
              </w:rPr>
              <w:t>781,6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271F35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71F35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271F35">
              <w:rPr>
                <w:rFonts w:ascii="Arial" w:hAnsi="Arial" w:cs="Arial"/>
                <w:sz w:val="13"/>
                <w:szCs w:val="13"/>
              </w:rPr>
              <w:t>079,9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</w:tr>
      <w:tr w:rsidR="007E2DDE" w:rsidRPr="00271F35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 xml:space="preserve">США    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доллар США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271F35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71F35">
              <w:rPr>
                <w:rFonts w:ascii="Arial" w:hAnsi="Arial" w:cs="Arial"/>
                <w:sz w:val="13"/>
                <w:szCs w:val="13"/>
              </w:rPr>
              <w:t>6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271F35">
              <w:rPr>
                <w:rFonts w:ascii="Arial" w:hAnsi="Arial" w:cs="Arial"/>
                <w:sz w:val="13"/>
                <w:szCs w:val="13"/>
              </w:rPr>
              <w:t>173,4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271F35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71F35">
              <w:rPr>
                <w:rFonts w:ascii="Arial" w:hAnsi="Arial" w:cs="Arial"/>
                <w:sz w:val="13"/>
                <w:szCs w:val="13"/>
              </w:rPr>
              <w:t>7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271F35">
              <w:rPr>
                <w:rFonts w:ascii="Arial" w:hAnsi="Arial" w:cs="Arial"/>
                <w:sz w:val="13"/>
                <w:szCs w:val="13"/>
              </w:rPr>
              <w:t>285,7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271F35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71F35">
              <w:rPr>
                <w:rFonts w:ascii="Arial" w:hAnsi="Arial" w:cs="Arial"/>
                <w:sz w:val="13"/>
                <w:szCs w:val="13"/>
              </w:rPr>
              <w:t>6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271F35">
              <w:rPr>
                <w:rFonts w:ascii="Arial" w:hAnsi="Arial" w:cs="Arial"/>
                <w:sz w:val="13"/>
                <w:szCs w:val="13"/>
              </w:rPr>
              <w:t>441,4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271F35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71F35">
              <w:rPr>
                <w:rFonts w:ascii="Arial" w:hAnsi="Arial" w:cs="Arial"/>
                <w:sz w:val="13"/>
                <w:szCs w:val="13"/>
              </w:rPr>
              <w:t>7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271F35">
              <w:rPr>
                <w:rFonts w:ascii="Arial" w:hAnsi="Arial" w:cs="Arial"/>
                <w:sz w:val="13"/>
                <w:szCs w:val="13"/>
              </w:rPr>
              <w:t>642,7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71F35">
              <w:rPr>
                <w:rFonts w:ascii="Arial" w:hAnsi="Arial" w:cs="Arial"/>
                <w:sz w:val="13"/>
                <w:szCs w:val="13"/>
              </w:rPr>
              <w:t>6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271F35">
              <w:rPr>
                <w:rFonts w:ascii="Arial" w:hAnsi="Arial" w:cs="Arial"/>
                <w:sz w:val="13"/>
                <w:szCs w:val="13"/>
              </w:rPr>
              <w:t>408,</w:t>
            </w:r>
            <w:r w:rsidRPr="00B44474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9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432,1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7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206,1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9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753,4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>Таджикистан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B44474">
              <w:rPr>
                <w:rFonts w:ascii="Arial" w:hAnsi="Arial" w:cs="Arial"/>
                <w:sz w:val="13"/>
                <w:szCs w:val="13"/>
              </w:rPr>
              <w:t>сомони</w:t>
            </w:r>
            <w:proofErr w:type="spellEnd"/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24,1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24,2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23,2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23,7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24,3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24,9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29,6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29,4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113" w:hanging="113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>Украина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гривна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184,3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252,1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289,8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377,2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376,7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595,4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662,2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844,4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113" w:hanging="113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>Франция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евро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245,5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294,9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258,6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321,5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194,6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394,1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rFonts w:cs="Arial"/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>Швеция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шведская крона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394,6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276,1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455,1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341,9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424,8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</w:t>
            </w:r>
            <w:r w:rsidRPr="00B44474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B44474">
              <w:rPr>
                <w:rFonts w:ascii="Arial" w:hAnsi="Arial" w:cs="Arial"/>
                <w:sz w:val="13"/>
                <w:szCs w:val="13"/>
              </w:rPr>
              <w:t>487,4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sz w:val="13"/>
                <w:szCs w:val="13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2DDE" w:rsidRPr="00B44474" w:rsidTr="000814AB">
        <w:trPr>
          <w:cantSplit/>
          <w:jc w:val="center"/>
        </w:trPr>
        <w:tc>
          <w:tcPr>
            <w:tcW w:w="1088" w:type="dxa"/>
            <w:tcBorders>
              <w:bottom w:val="single" w:sz="6" w:space="0" w:color="auto"/>
            </w:tcBorders>
          </w:tcPr>
          <w:p w:rsidR="007E2DDE" w:rsidRPr="00B44474" w:rsidRDefault="007E2DDE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" w:line="140" w:lineRule="exact"/>
              <w:textAlignment w:val="baseline"/>
              <w:rPr>
                <w:sz w:val="13"/>
                <w:szCs w:val="13"/>
              </w:rPr>
            </w:pPr>
            <w:r w:rsidRPr="00B44474">
              <w:rPr>
                <w:rFonts w:cs="Arial"/>
                <w:sz w:val="13"/>
                <w:szCs w:val="13"/>
              </w:rPr>
              <w:t>Япония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иена</w:t>
            </w:r>
          </w:p>
        </w:tc>
        <w:tc>
          <w:tcPr>
            <w:tcW w:w="549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197,5</w:t>
            </w:r>
          </w:p>
        </w:tc>
        <w:tc>
          <w:tcPr>
            <w:tcW w:w="549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206,9</w:t>
            </w:r>
          </w:p>
        </w:tc>
        <w:tc>
          <w:tcPr>
            <w:tcW w:w="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197,4</w:t>
            </w: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210,6</w:t>
            </w:r>
          </w:p>
        </w:tc>
        <w:tc>
          <w:tcPr>
            <w:tcW w:w="54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198,0</w:t>
            </w:r>
          </w:p>
        </w:tc>
        <w:tc>
          <w:tcPr>
            <w:tcW w:w="54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246,4</w:t>
            </w:r>
          </w:p>
        </w:tc>
        <w:tc>
          <w:tcPr>
            <w:tcW w:w="54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E2DDE" w:rsidRPr="00B44474" w:rsidRDefault="007E2DDE" w:rsidP="000814AB">
            <w:pPr>
              <w:spacing w:before="8" w:line="140" w:lineRule="exact"/>
              <w:ind w:right="4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44474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</w:tr>
    </w:tbl>
    <w:p w:rsidR="007E2DDE" w:rsidRPr="00DE22B3" w:rsidRDefault="007E2DDE" w:rsidP="007E2DDE">
      <w:pPr>
        <w:spacing w:before="40"/>
        <w:jc w:val="both"/>
        <w:rPr>
          <w:rFonts w:ascii="Arial" w:hAnsi="Arial" w:cs="Arial"/>
          <w:sz w:val="12"/>
          <w:vertAlign w:val="superscript"/>
        </w:rPr>
      </w:pPr>
      <w:r w:rsidRPr="00DE22B3">
        <w:rPr>
          <w:rFonts w:ascii="Arial" w:hAnsi="Arial" w:cs="Arial"/>
          <w:sz w:val="12"/>
          <w:vertAlign w:val="superscript"/>
        </w:rPr>
        <w:t>1)</w:t>
      </w:r>
      <w:r w:rsidRPr="00DE22B3">
        <w:rPr>
          <w:rFonts w:ascii="Arial" w:hAnsi="Arial" w:cs="Arial"/>
          <w:sz w:val="12"/>
        </w:rPr>
        <w:t xml:space="preserve"> С учетом </w:t>
      </w:r>
      <w:r w:rsidRPr="00DE22B3">
        <w:rPr>
          <w:rFonts w:ascii="Arial" w:hAnsi="Arial" w:cs="Arial"/>
          <w:bCs/>
          <w:sz w:val="12"/>
        </w:rPr>
        <w:t>бюджетов государственных внебюджетных фондов.</w:t>
      </w:r>
    </w:p>
    <w:p w:rsidR="007E2DDE" w:rsidRPr="00DE22B3" w:rsidRDefault="007E2DDE" w:rsidP="007E2DDE">
      <w:pPr>
        <w:jc w:val="both"/>
        <w:rPr>
          <w:rFonts w:ascii="Arial" w:hAnsi="Arial" w:cs="Arial"/>
          <w:sz w:val="12"/>
        </w:rPr>
      </w:pPr>
      <w:r w:rsidRPr="00DE22B3">
        <w:rPr>
          <w:rFonts w:ascii="Arial" w:hAnsi="Arial" w:cs="Arial"/>
          <w:sz w:val="12"/>
          <w:vertAlign w:val="superscript"/>
        </w:rPr>
        <w:t>2)</w:t>
      </w:r>
      <w:r w:rsidRPr="00DE22B3">
        <w:rPr>
          <w:rFonts w:ascii="Arial" w:hAnsi="Arial" w:cs="Arial"/>
          <w:sz w:val="12"/>
        </w:rPr>
        <w:t> Деноминированные белорусские рубли.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2DDE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2">
    <w:name w:val="указатель 1"/>
    <w:basedOn w:val="a"/>
    <w:next w:val="a"/>
    <w:rsid w:val="007E2DDE"/>
    <w:pPr>
      <w:overflowPunct/>
      <w:autoSpaceDE/>
      <w:autoSpaceDN/>
      <w:adjustRightInd/>
      <w:textAlignment w:val="auto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2">
    <w:name w:val="указатель 1"/>
    <w:basedOn w:val="a"/>
    <w:next w:val="a"/>
    <w:rsid w:val="007E2DDE"/>
    <w:pPr>
      <w:overflowPunct/>
      <w:autoSpaceDE/>
      <w:autoSpaceDN/>
      <w:adjustRightInd/>
      <w:textAlignment w:val="auto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353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2023-02-16T11:00:00Z</dcterms:modified>
</cp:coreProperties>
</file>