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1"/>
      </w:tblGrid>
      <w:tr w:rsidR="00FB1957" w:rsidRPr="00711F1F" w:rsidTr="00711F1F">
        <w:trPr>
          <w:jc w:val="center"/>
        </w:trPr>
        <w:tc>
          <w:tcPr>
            <w:tcW w:w="9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57" w:rsidRPr="00FB1957" w:rsidRDefault="00FB1957" w:rsidP="00FB1957">
            <w:pPr>
              <w:autoSpaceDE/>
              <w:autoSpaceDN/>
              <w:adjustRightInd/>
              <w:spacing w:before="150" w:after="15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1957">
              <w:rPr>
                <w:rFonts w:ascii="Verdana" w:eastAsia="Times New Roman" w:hAnsi="Verdana" w:cs="Times New Roman"/>
                <w:b/>
                <w:bCs/>
                <w:color w:val="000000"/>
              </w:rPr>
              <w:t>Методологические пояснения</w:t>
            </w:r>
          </w:p>
        </w:tc>
      </w:tr>
      <w:tr w:rsidR="00711F1F" w:rsidRPr="00711F1F" w:rsidTr="00E261D0">
        <w:trPr>
          <w:jc w:val="center"/>
        </w:trPr>
        <w:tc>
          <w:tcPr>
            <w:tcW w:w="9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1D0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E261D0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Данные о численности рабочей силы, занятых и безработных получены по материалам выборочных обследований рабочей силы, проводившихся статистическими органами Российской Федерации, с последующим распространением итогов на всю численность населения обследуемого возраста. Обследование проводится в России с 1992г. В 1992-1994гг., 1997, 1998гг. оно проводилось 1 раз в год по состоянию на последнюю неделю октября, в 1995г. было проведено 2 обследования - на последнюю неделю марта и октября, в 1996г. - по состоянию на последнюю неделю марта; с 1999г. по август 2009г. обследование проводилось с квартальной периодичностью. С сентября 2009г. обследование переведено на месячную периодичность. </w:t>
            </w:r>
          </w:p>
          <w:p w:rsidR="00E261D0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E261D0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Единицами отбора являются частные домашние хозяйства; единицами наблюдения – лица в возрасте от 15 лет и старше – члены этих домашних хозяйств (до 2017 года – лица в возрасте 15-72 лет). </w:t>
            </w:r>
          </w:p>
          <w:p w:rsidR="00E261D0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E261D0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С января 2017 года в период каждого обследования опрашивается около 77 тыс. человек (0,06% от численности населения обследуемого возраста). По субъектам Российской Федерации применяется разная доля отбора с учетом общей численности населения и относительной вариации по показателю "уровень безработицы". </w:t>
            </w:r>
          </w:p>
          <w:p w:rsidR="009974FF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E261D0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Выборка формируется на основе первичного информационного массива Всероссийской переписи населения (ВПН-20</w:t>
            </w:r>
            <w:r w:rsidR="00EE26C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20</w:t>
            </w:r>
            <w:r w:rsidRPr="00E261D0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), содержащего сведения о постоянном населении, т.е. населении, постоянно проживающем на территории соответствующего района, города, населенного пункта. </w:t>
            </w:r>
          </w:p>
          <w:p w:rsidR="00E261D0" w:rsidRDefault="009974FF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Данные за 2013-2022 гг. пересчитаны с учетом итогов ВПН-2020.</w:t>
            </w:r>
          </w:p>
          <w:p w:rsidR="00E261D0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E261D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Рабочая сила</w:t>
            </w:r>
            <w:r w:rsidRPr="00E261D0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- лица в возрасте 15 лет и старше, которые в рассматриваемый период (обследуемую неделю) считаются занятыми или безработными. </w:t>
            </w:r>
          </w:p>
          <w:p w:rsidR="00E261D0" w:rsidRPr="00FA41BB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Занятые </w:t>
            </w: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– лица в возрасте 15 лет и старше, которые в обследуемую неделю выполняли любую деятельность (хотя бы один час в неделю), связанную с производством товаров или оказанием услуг за оплату или прибыль. В численность </w:t>
            </w:r>
            <w:proofErr w:type="gramStart"/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занятых</w:t>
            </w:r>
            <w:proofErr w:type="gramEnd"/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включаются также лица, временно отсутствовавшие на рабочем месте в течение короткого промежутка времени и сохранившие связь с рабочим местом во время отсутствия.</w:t>
            </w:r>
          </w:p>
          <w:p w:rsidR="00E261D0" w:rsidRPr="00FA41BB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Безработные в соответствии с определениями МОТ</w:t>
            </w: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– лица в возрасте 15 лет и старше, которые в рассматриваемый период удовлетворяли одновременно следующим критериям: </w:t>
            </w:r>
          </w:p>
          <w:p w:rsidR="00E261D0" w:rsidRPr="00FA41BB" w:rsidRDefault="00E261D0" w:rsidP="00FA41BB">
            <w:pPr>
              <w:autoSpaceDE/>
              <w:autoSpaceDN/>
              <w:adjustRightInd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- не имели работы (доходного занятия); </w:t>
            </w:r>
          </w:p>
          <w:p w:rsidR="00E261D0" w:rsidRPr="00FA41BB" w:rsidRDefault="00E261D0" w:rsidP="00FA41BB">
            <w:pPr>
              <w:autoSpaceDE/>
              <w:autoSpaceDN/>
              <w:adjustRightInd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- занимались поиском работы в течение последних четырех недель, используя при этом любые способы; </w:t>
            </w:r>
          </w:p>
          <w:p w:rsidR="00E261D0" w:rsidRPr="00FA41BB" w:rsidRDefault="00E261D0" w:rsidP="00FA41BB">
            <w:pPr>
              <w:autoSpaceDE/>
              <w:autoSpaceDN/>
              <w:adjustRightInd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- были готовы приступить к работе в течение обследуемой недели. </w:t>
            </w:r>
          </w:p>
          <w:p w:rsidR="00E261D0" w:rsidRPr="00FA41BB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gramStart"/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К безработным относятся также лица, которые в рассматриваемый период не имели работы, но договорились о сроке начала работы (в течение 2 недель после обследуемой недели) и не продолжали дальнейшего ее поиска; не имели работы, были готовы приступить, но не искали работу, так как ожидали ответа от администрации или работодателя на сделанное ранее обращение.</w:t>
            </w:r>
            <w:proofErr w:type="gramEnd"/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При этом период ожидания ответа не должен превышать один месяц. </w:t>
            </w:r>
          </w:p>
          <w:p w:rsidR="00E261D0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Обучающиеся, пенсионеры и инвалиды учитываются в качестве безработных, если они не имели работы, занимались поиском работы и были готовы приступить к ней.</w:t>
            </w:r>
          </w:p>
          <w:p w:rsidR="009E782C" w:rsidRPr="009E782C" w:rsidRDefault="009E782C" w:rsidP="009E782C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9E782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Потенциальная рабочая сила</w:t>
            </w:r>
            <w:r w:rsidRPr="009E782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- незанятые лица, которые выражают заинтересованность в получении работы за оплату или прибыль, однако сложившиеся условия ограничивают их активные поиски работы или их готовность приступить к работе.</w:t>
            </w:r>
          </w:p>
          <w:p w:rsidR="009E782C" w:rsidRPr="009E782C" w:rsidRDefault="009E782C" w:rsidP="009E782C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9E782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Потенциальная рабочая сила определяется как все лица обследуемого возраста, которые в течение короткого учетного периода (неделя) не были ни занятыми, ни безработными, и при этом: </w:t>
            </w:r>
          </w:p>
          <w:p w:rsidR="009E782C" w:rsidRPr="009E782C" w:rsidRDefault="009E782C" w:rsidP="009E782C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9E782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- предпринимали действия «в поисках работы», были «не готовы приступить к работе в настоящий момент», однако будут готовы приступить к работе в течение двух недель после обследуемой недели (т.е. соискатели, не готовые приступить к работе); </w:t>
            </w:r>
          </w:p>
          <w:p w:rsidR="009E782C" w:rsidRPr="00FA41BB" w:rsidRDefault="009E782C" w:rsidP="009E782C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9E782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- не предпринимали действий «в поисках работы», однако хотели работать и были «готовы приступить к работе в настоящий момент» (т.е. не находящиеся в поисках работы лица, потенциально готовые приступить к работе).</w:t>
            </w:r>
          </w:p>
          <w:p w:rsidR="00E261D0" w:rsidRPr="00FA41BB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lastRenderedPageBreak/>
              <w:t>Уровень участия в рабочей силе</w:t>
            </w: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- отношение численности рабочей силы (занятых и безработных) определенной возрастной группы к общей численности населения соответствующей возрастной группы, рассчитанное в процентах.</w:t>
            </w:r>
          </w:p>
          <w:p w:rsidR="00E261D0" w:rsidRPr="00FA41BB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Уровень занятости населения</w:t>
            </w: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- отношение численности занятого населения определенной возрастной группы к общей численности населения соответствующей возрастной группы, рассчитанное в процентах</w:t>
            </w:r>
          </w:p>
          <w:p w:rsidR="00E261D0" w:rsidRDefault="00FA41BB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FA41B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Уровень безработицы</w:t>
            </w:r>
            <w:r w:rsidRPr="00FA41BB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- отношение численности безработных определенной возрастной группы к численности рабочей силы (занятых и безработных) соответствующей возрастной группы, рассчитанное в процентах.</w:t>
            </w:r>
          </w:p>
          <w:p w:rsidR="009E782C" w:rsidRDefault="009E782C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9E782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Совокупный показатель </w:t>
            </w:r>
            <w:r w:rsidR="007F60A0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уровня </w:t>
            </w:r>
            <w:r w:rsidRPr="009E782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безработицы и потенциальной рабочей силы</w:t>
            </w:r>
            <w:r w:rsidRPr="009E782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 xml:space="preserve"> – отношение суммы численности безработных и потенциальной рабочей силы к расширенной концепции рабочей силы, рассчитанное в процентах. Расширенная концепция рабочей силы включает в себя занятых, безработных и потенциальную рабочую силу.</w:t>
            </w:r>
          </w:p>
          <w:p w:rsidR="00711F1F" w:rsidRPr="00E261D0" w:rsidRDefault="00E261D0" w:rsidP="00FA41BB">
            <w:pPr>
              <w:autoSpaceDE/>
              <w:autoSpaceDN/>
              <w:adjustRightInd/>
              <w:spacing w:before="240"/>
              <w:ind w:firstLine="227"/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E261D0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7"/>
                <w:szCs w:val="17"/>
              </w:rPr>
              <w:t>По субъектам Российской Федерации в целях повышения репрезентативности данных месячные данные обследования сформированы в среднем за 3 месяца по совокупности трех последовательных выборок. Годовые данные сформированы в среднем за 12 месяце по совокупности двенадцати последовательных выборок.</w:t>
            </w:r>
          </w:p>
        </w:tc>
      </w:tr>
      <w:tr w:rsidR="00FB1957" w:rsidRPr="00711F1F" w:rsidTr="00711F1F">
        <w:trPr>
          <w:jc w:val="center"/>
        </w:trPr>
        <w:tc>
          <w:tcPr>
            <w:tcW w:w="9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50" w:type="dxa"/>
              <w:jc w:val="center"/>
              <w:tblCellSpacing w:w="7" w:type="dxa"/>
              <w:shd w:val="clear" w:color="auto" w:fill="C6C6C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9"/>
              <w:gridCol w:w="5271"/>
            </w:tblGrid>
            <w:tr w:rsidR="00FB1957" w:rsidRPr="00711F1F">
              <w:trPr>
                <w:tblCellSpacing w:w="7" w:type="dxa"/>
                <w:jc w:val="center"/>
              </w:trPr>
              <w:tc>
                <w:tcPr>
                  <w:tcW w:w="2250" w:type="pct"/>
                  <w:shd w:val="clear" w:color="auto" w:fill="E3E3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B1957" w:rsidRPr="00711F1F" w:rsidRDefault="00FB1957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Calibri" w:eastAsia="Times New Roman" w:hAnsi="Calibri" w:cs="Times New Roman"/>
                      <w:i/>
                      <w:sz w:val="22"/>
                      <w:szCs w:val="22"/>
                    </w:rPr>
                  </w:pPr>
                  <w:r w:rsidRPr="00711F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lastRenderedPageBreak/>
                    <w:t>Источник</w:t>
                  </w:r>
                </w:p>
              </w:tc>
              <w:tc>
                <w:tcPr>
                  <w:tcW w:w="2650" w:type="pct"/>
                  <w:shd w:val="clear" w:color="auto" w:fill="E3E3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1957" w:rsidRPr="00711F1F" w:rsidRDefault="00FB1957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Calibri" w:eastAsia="Times New Roman" w:hAnsi="Calibri" w:cs="Times New Roman"/>
                      <w:i/>
                      <w:sz w:val="22"/>
                      <w:szCs w:val="22"/>
                    </w:rPr>
                  </w:pPr>
                  <w:r w:rsidRPr="00711F1F">
                    <w:rPr>
                      <w:rFonts w:ascii="Verdana" w:eastAsia="Times New Roman" w:hAnsi="Verdana" w:cs="Times New Roman"/>
                      <w:b/>
                      <w:bCs/>
                      <w:i/>
                      <w:sz w:val="17"/>
                      <w:szCs w:val="17"/>
                    </w:rPr>
                    <w:t>Выборочное обследование рабочей силы</w:t>
                  </w:r>
                </w:p>
              </w:tc>
            </w:tr>
            <w:tr w:rsidR="00FB1957" w:rsidRPr="00711F1F">
              <w:trPr>
                <w:tblCellSpacing w:w="7" w:type="dxa"/>
                <w:jc w:val="center"/>
              </w:trPr>
              <w:tc>
                <w:tcPr>
                  <w:tcW w:w="2250" w:type="pct"/>
                  <w:shd w:val="clear" w:color="auto" w:fill="F9F9F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B1957" w:rsidRPr="00711F1F" w:rsidRDefault="00FB1957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Calibri" w:eastAsia="Times New Roman" w:hAnsi="Calibri" w:cs="Times New Roman"/>
                      <w:i/>
                      <w:sz w:val="22"/>
                      <w:szCs w:val="22"/>
                    </w:rPr>
                  </w:pPr>
                  <w:r w:rsidRPr="00711F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Периодичность</w:t>
                  </w:r>
                </w:p>
              </w:tc>
              <w:tc>
                <w:tcPr>
                  <w:tcW w:w="2650" w:type="pct"/>
                  <w:shd w:val="clear" w:color="auto" w:fill="F9F9F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261D0" w:rsidRDefault="00E261D0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месячная,</w:t>
                  </w:r>
                </w:p>
                <w:p w:rsidR="00FB1957" w:rsidRPr="00711F1F" w:rsidRDefault="00FB1957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Calibri" w:eastAsia="Times New Roman" w:hAnsi="Calibri" w:cs="Times New Roman"/>
                      <w:i/>
                      <w:sz w:val="22"/>
                      <w:szCs w:val="22"/>
                    </w:rPr>
                  </w:pPr>
                  <w:r w:rsidRPr="00711F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годовая</w:t>
                  </w:r>
                </w:p>
              </w:tc>
            </w:tr>
            <w:tr w:rsidR="00FB1957" w:rsidRPr="00711F1F">
              <w:trPr>
                <w:tblCellSpacing w:w="7" w:type="dxa"/>
                <w:jc w:val="center"/>
              </w:trPr>
              <w:tc>
                <w:tcPr>
                  <w:tcW w:w="2250" w:type="pct"/>
                  <w:shd w:val="clear" w:color="auto" w:fill="E3E3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B1957" w:rsidRPr="00711F1F" w:rsidRDefault="00FB1957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Calibri" w:eastAsia="Times New Roman" w:hAnsi="Calibri" w:cs="Times New Roman"/>
                      <w:i/>
                      <w:sz w:val="22"/>
                      <w:szCs w:val="22"/>
                    </w:rPr>
                  </w:pPr>
                  <w:r w:rsidRPr="00711F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Сроки обновления на сайте</w:t>
                  </w:r>
                </w:p>
              </w:tc>
              <w:tc>
                <w:tcPr>
                  <w:tcW w:w="2650" w:type="pct"/>
                  <w:shd w:val="clear" w:color="auto" w:fill="E3E3E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261D0" w:rsidRDefault="00E261D0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месячная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 xml:space="preserve"> – на 30-34-й рабочий день после отчетного периода</w:t>
                  </w:r>
                </w:p>
                <w:p w:rsidR="00FB1957" w:rsidRPr="00E261D0" w:rsidRDefault="00E261D0" w:rsidP="00DA0F35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 xml:space="preserve">годовая – </w:t>
                  </w:r>
                  <w:r w:rsidR="00DA0F3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4-я неделя марта</w:t>
                  </w:r>
                  <w:bookmarkStart w:id="0" w:name="_GoBack"/>
                  <w:bookmarkEnd w:id="0"/>
                </w:p>
              </w:tc>
            </w:tr>
            <w:tr w:rsidR="00FB1957" w:rsidRPr="00711F1F">
              <w:trPr>
                <w:tblCellSpacing w:w="7" w:type="dxa"/>
                <w:jc w:val="center"/>
              </w:trPr>
              <w:tc>
                <w:tcPr>
                  <w:tcW w:w="2250" w:type="pct"/>
                  <w:shd w:val="clear" w:color="auto" w:fill="F9F9F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B1957" w:rsidRPr="00711F1F" w:rsidRDefault="00FB1957" w:rsidP="00711F1F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Calibri" w:eastAsia="Times New Roman" w:hAnsi="Calibri" w:cs="Times New Roman"/>
                      <w:i/>
                      <w:sz w:val="22"/>
                      <w:szCs w:val="22"/>
                    </w:rPr>
                  </w:pPr>
                  <w:r w:rsidRPr="00711F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Контакты</w:t>
                  </w:r>
                </w:p>
              </w:tc>
              <w:tc>
                <w:tcPr>
                  <w:tcW w:w="2650" w:type="pct"/>
                  <w:shd w:val="clear" w:color="auto" w:fill="F9F9F9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B1957" w:rsidRPr="00711F1F" w:rsidRDefault="00FB1957" w:rsidP="00936DDD">
                  <w:pPr>
                    <w:autoSpaceDE/>
                    <w:autoSpaceDN/>
                    <w:adjustRightInd/>
                    <w:spacing w:before="150" w:after="150"/>
                    <w:ind w:left="150" w:right="150" w:firstLine="0"/>
                    <w:jc w:val="left"/>
                    <w:rPr>
                      <w:rFonts w:ascii="Calibri" w:eastAsia="Times New Roman" w:hAnsi="Calibri" w:cs="Times New Roman"/>
                      <w:i/>
                      <w:sz w:val="22"/>
                      <w:szCs w:val="22"/>
                    </w:rPr>
                  </w:pPr>
                  <w:r w:rsidRPr="00711F1F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7"/>
                      <w:szCs w:val="17"/>
                    </w:rPr>
                    <w:t>Элефтерова М.П., </w:t>
                  </w:r>
                  <w:r w:rsidRPr="00711F1F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 xml:space="preserve">т. 8 (495) </w:t>
                  </w:r>
                  <w:r w:rsidR="00936DDD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568-00-42</w:t>
                  </w:r>
                  <w:r w:rsidRPr="00711F1F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 xml:space="preserve"> (доб. 9934</w:t>
                  </w:r>
                  <w:r w:rsidRPr="00FB1957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5</w:t>
                  </w:r>
                  <w:r w:rsidRPr="00711F1F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)</w:t>
                  </w:r>
                </w:p>
              </w:tc>
            </w:tr>
          </w:tbl>
          <w:p w:rsidR="00FB1957" w:rsidRPr="00711F1F" w:rsidRDefault="00FB1957" w:rsidP="00711F1F">
            <w:pPr>
              <w:autoSpaceDE/>
              <w:autoSpaceDN/>
              <w:adjustRightInd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A3252" w:rsidRPr="00711F1F" w:rsidRDefault="00711F1F" w:rsidP="00711F1F">
      <w:pPr>
        <w:autoSpaceDE/>
        <w:autoSpaceDN/>
        <w:adjustRightInd/>
        <w:spacing w:after="200" w:line="253" w:lineRule="atLeast"/>
        <w:ind w:firstLine="0"/>
        <w:jc w:val="left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711F1F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sectPr w:rsidR="00FA3252" w:rsidRPr="0071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6144"/>
    <w:multiLevelType w:val="hybridMultilevel"/>
    <w:tmpl w:val="562A05B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1F"/>
    <w:rsid w:val="00087CA9"/>
    <w:rsid w:val="001349E5"/>
    <w:rsid w:val="002C29B7"/>
    <w:rsid w:val="004D51D8"/>
    <w:rsid w:val="004D710D"/>
    <w:rsid w:val="004F2542"/>
    <w:rsid w:val="00711F1F"/>
    <w:rsid w:val="007F60A0"/>
    <w:rsid w:val="008F517C"/>
    <w:rsid w:val="00936DDD"/>
    <w:rsid w:val="009974FF"/>
    <w:rsid w:val="009E782C"/>
    <w:rsid w:val="00C9564A"/>
    <w:rsid w:val="00D44BF8"/>
    <w:rsid w:val="00DA0F35"/>
    <w:rsid w:val="00E261D0"/>
    <w:rsid w:val="00E93AF7"/>
    <w:rsid w:val="00EE26CB"/>
    <w:rsid w:val="00FA3252"/>
    <w:rsid w:val="00FA41BB"/>
    <w:rsid w:val="00FB1957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B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2C29B7"/>
    <w:pPr>
      <w:autoSpaceDE/>
      <w:autoSpaceDN/>
      <w:adjustRightInd/>
      <w:spacing w:line="20" w:lineRule="atLeast"/>
      <w:ind w:firstLine="0"/>
      <w:jc w:val="center"/>
    </w:pPr>
    <w:rPr>
      <w:rFonts w:eastAsia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11F1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1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B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2C29B7"/>
    <w:pPr>
      <w:autoSpaceDE/>
      <w:autoSpaceDN/>
      <w:adjustRightInd/>
      <w:spacing w:line="20" w:lineRule="atLeast"/>
      <w:ind w:firstLine="0"/>
      <w:jc w:val="center"/>
    </w:pPr>
    <w:rPr>
      <w:rFonts w:eastAsia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11F1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1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Александра Олеговна</dc:creator>
  <cp:lastModifiedBy>Элефтерова Мария Петровна</cp:lastModifiedBy>
  <cp:revision>9</cp:revision>
  <dcterms:created xsi:type="dcterms:W3CDTF">2022-01-20T13:41:00Z</dcterms:created>
  <dcterms:modified xsi:type="dcterms:W3CDTF">2024-08-09T14:12:00Z</dcterms:modified>
</cp:coreProperties>
</file>