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F" w:rsidRPr="00CB6363" w:rsidRDefault="00934E5F" w:rsidP="00D919B3">
      <w:pPr>
        <w:spacing w:after="120"/>
        <w:jc w:val="center"/>
        <w:rPr>
          <w:b/>
          <w:sz w:val="18"/>
          <w:szCs w:val="18"/>
        </w:rPr>
      </w:pPr>
      <w:r w:rsidRPr="00CB6363">
        <w:rPr>
          <w:b/>
          <w:bCs/>
          <w:sz w:val="18"/>
          <w:szCs w:val="18"/>
        </w:rPr>
        <w:t xml:space="preserve">ВЕЛИЧИНА ПРОЖИТОЧНОГО МИНИМУМА, </w:t>
      </w:r>
      <w:r w:rsidRPr="00CB6363">
        <w:rPr>
          <w:b/>
          <w:bCs/>
          <w:sz w:val="18"/>
          <w:szCs w:val="18"/>
        </w:rPr>
        <w:br/>
        <w:t>установленная в субъектах Российской Федерации в соответствии с законом «О прожиточном минимуме в Российской Федерации»,</w:t>
      </w:r>
      <w:r w:rsidRPr="00CB6363">
        <w:rPr>
          <w:b/>
          <w:bCs/>
          <w:sz w:val="18"/>
          <w:szCs w:val="18"/>
        </w:rPr>
        <w:br/>
      </w:r>
      <w:r w:rsidR="00C94B04" w:rsidRPr="00CB6363">
        <w:rPr>
          <w:b/>
          <w:bCs/>
          <w:sz w:val="18"/>
          <w:szCs w:val="18"/>
        </w:rPr>
        <w:t>на 202</w:t>
      </w:r>
      <w:r w:rsidR="0072112D" w:rsidRPr="00CB6363">
        <w:rPr>
          <w:b/>
          <w:bCs/>
          <w:sz w:val="18"/>
          <w:szCs w:val="18"/>
        </w:rPr>
        <w:t>4</w:t>
      </w:r>
      <w:r w:rsidRPr="00CB6363">
        <w:rPr>
          <w:b/>
          <w:bCs/>
          <w:sz w:val="18"/>
          <w:szCs w:val="18"/>
        </w:rPr>
        <w:t xml:space="preserve"> год</w:t>
      </w:r>
    </w:p>
    <w:p w:rsidR="00934E5F" w:rsidRPr="00CB6363" w:rsidRDefault="00934E5F" w:rsidP="00D919B3">
      <w:pPr>
        <w:pStyle w:val="ac"/>
        <w:spacing w:after="240"/>
        <w:jc w:val="right"/>
        <w:rPr>
          <w:b w:val="0"/>
          <w:bCs w:val="0"/>
          <w:sz w:val="15"/>
          <w:szCs w:val="15"/>
        </w:rPr>
      </w:pPr>
      <w:r w:rsidRPr="00CB6363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CB6363">
        <w:rPr>
          <w:rFonts w:ascii="Arial" w:hAnsi="Arial" w:cs="Arial"/>
          <w:b w:val="0"/>
          <w:bCs w:val="0"/>
          <w:sz w:val="15"/>
          <w:szCs w:val="15"/>
        </w:rPr>
        <w:br/>
      </w:r>
      <w:r w:rsidRPr="00CB6363">
        <w:rPr>
          <w:b w:val="0"/>
          <w:bCs w:val="0"/>
          <w:sz w:val="15"/>
          <w:szCs w:val="15"/>
        </w:rPr>
        <w:t>в среднем на душу населения; рублей в месяц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2652"/>
        <w:gridCol w:w="2587"/>
        <w:gridCol w:w="2477"/>
        <w:gridCol w:w="2483"/>
      </w:tblGrid>
      <w:tr w:rsidR="00934E5F" w:rsidRPr="00CB6363" w:rsidTr="00CB6363">
        <w:trPr>
          <w:cantSplit/>
          <w:trHeight w:val="240"/>
          <w:tblHeader/>
          <w:jc w:val="center"/>
        </w:trPr>
        <w:tc>
          <w:tcPr>
            <w:tcW w:w="1755" w:type="pct"/>
            <w:vMerge w:val="restart"/>
            <w:shd w:val="clear" w:color="auto" w:fill="auto"/>
          </w:tcPr>
          <w:p w:rsidR="00934E5F" w:rsidRPr="00CB6363" w:rsidRDefault="00934E5F" w:rsidP="00BB135C">
            <w:pPr>
              <w:spacing w:before="60" w:after="60" w:line="1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934E5F" w:rsidRPr="00CB6363" w:rsidRDefault="00934E5F" w:rsidP="00BB135C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Все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население</w:t>
            </w:r>
          </w:p>
        </w:tc>
        <w:tc>
          <w:tcPr>
            <w:tcW w:w="2401" w:type="pct"/>
            <w:gridSpan w:val="3"/>
            <w:shd w:val="clear" w:color="auto" w:fill="auto"/>
            <w:vAlign w:val="center"/>
          </w:tcPr>
          <w:p w:rsidR="00934E5F" w:rsidRPr="00CB6363" w:rsidRDefault="00934E5F" w:rsidP="00BB135C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 том числе по социально-демографическим группам</w:t>
            </w:r>
          </w:p>
        </w:tc>
      </w:tr>
      <w:tr w:rsidR="00934E5F" w:rsidRPr="00CB6363" w:rsidTr="00CB6363">
        <w:trPr>
          <w:cantSplit/>
          <w:trHeight w:val="240"/>
          <w:tblHeader/>
          <w:jc w:val="center"/>
        </w:trPr>
        <w:tc>
          <w:tcPr>
            <w:tcW w:w="17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4E5F" w:rsidRPr="00CB6363" w:rsidRDefault="00934E5F" w:rsidP="00BB135C">
            <w:pPr>
              <w:spacing w:before="60" w:after="60" w:line="1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4E5F" w:rsidRPr="00CB6363" w:rsidRDefault="00934E5F" w:rsidP="00BB135C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E5F" w:rsidRPr="00CB6363" w:rsidRDefault="00934E5F" w:rsidP="00BB135C">
            <w:pPr>
              <w:spacing w:before="40" w:after="40" w:line="1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трудоспособное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население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E5F" w:rsidRPr="00CB6363" w:rsidRDefault="00934E5F" w:rsidP="00BB135C">
            <w:pPr>
              <w:spacing w:before="40" w:after="40" w:line="1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пенсионеры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E5F" w:rsidRPr="00CB6363" w:rsidRDefault="00934E5F" w:rsidP="00BB135C">
            <w:pPr>
              <w:spacing w:before="40" w:after="40" w:line="1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дети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pStyle w:val="2"/>
              <w:keepNext w:val="0"/>
              <w:spacing w:before="0" w:line="260" w:lineRule="exac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CB63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Российская Федерация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15453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16844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</w:pPr>
            <w:r w:rsidRPr="00CB6363">
              <w:t>13290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</w:pPr>
            <w:r w:rsidRPr="00CB6363">
              <w:t>14989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Белгородская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12981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14149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11164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12592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12387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14078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Владимирская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16338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12891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14539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14654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11768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13041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14835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16170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14428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Костромская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12227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13933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14654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11831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13749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13980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11177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12957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Московская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18296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19943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15735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17747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Орловская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14371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15664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12359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13940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11828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13747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16507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13024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13372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14575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12292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12971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16338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12891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14687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  <w:lang w:val="en-US"/>
              </w:rPr>
            </w:pPr>
            <w:r w:rsidRPr="00CB6363">
              <w:t>Тульская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16844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13290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14989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16507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13024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г. Москва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22662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25879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16964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19586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Северо-Западный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Карелия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18681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20362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16066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18121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Коми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18389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20044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15961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18558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Архангельская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28024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30546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24101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29280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</w:pPr>
            <w:r w:rsidRPr="00CB6363">
              <w:t xml:space="preserve">Архангельская область без авт. округа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17925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19538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15416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17387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Вологодская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15608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17013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13423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15140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Калининградская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15917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17350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13689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15439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16226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17686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13954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15739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Мурманская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24413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26610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20995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23681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16507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13024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Псковская 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15298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16675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13156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14839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г. Санкт-Петербург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16535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18023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14220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16039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Южный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lastRenderedPageBreak/>
              <w:t>Республика Адыгея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13290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14486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11429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12912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Калмыкия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14835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16170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16338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12891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15559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Краснодарский край</w:t>
            </w:r>
            <w:r w:rsidRPr="00CB6363">
              <w:rPr>
                <w:vertAlign w:val="superscript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14835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16170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16338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12891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15297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13290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14486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11429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12891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14378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15762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17181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13555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16182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</w:t>
            </w:r>
            <w:r w:rsidRPr="00CB6363">
              <w:rPr>
                <w:b/>
                <w:bCs/>
              </w:rPr>
              <w:t>Кавказский</w:t>
            </w:r>
            <w:r w:rsidRPr="00CB6363">
              <w:rPr>
                <w:b/>
              </w:rPr>
              <w:t xml:space="preserve">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Дагестан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15328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12093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13745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Ингушетия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14294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Кабардино-Балкарская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16535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18023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14220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17440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Карачаево-Черкесская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14371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15664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12359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14182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Северная Осетия-Алания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13908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15160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11961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13491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Чеченская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14835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16170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13908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15160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11961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13491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pStyle w:val="3"/>
              <w:keepNext w:val="0"/>
              <w:spacing w:before="0" w:line="26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Башкортостан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12530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13340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13599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14823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11695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13585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14317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11462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12898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14317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11296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12741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11828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13340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Чувашская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14654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11562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13041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12227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14093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Кировская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12028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14232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Оренбургская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14654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11562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13138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12981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14149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11246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12592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Самарская область</w:t>
            </w:r>
            <w:r w:rsidRPr="00CB6363">
              <w:rPr>
                <w:vertAlign w:val="superscript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Саратовская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12981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14149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11164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13142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Ульяновская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11828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13496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Уральский федеральный округ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14512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Свердловская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15298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16675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13156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15281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Тюменская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</w:pPr>
            <w:r w:rsidRPr="00CB6363">
              <w:t>в том числе:</w:t>
            </w:r>
          </w:p>
          <w:p w:rsidR="00F0194D" w:rsidRPr="00CB6363" w:rsidRDefault="00F0194D" w:rsidP="00BB135C">
            <w:pPr>
              <w:spacing w:line="260" w:lineRule="exact"/>
              <w:ind w:left="113"/>
            </w:pPr>
            <w:r w:rsidRPr="00CB6363">
              <w:t xml:space="preserve">Ханты-Мансийский авт. округ – Югра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20435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22274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17629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20467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vertAlign w:val="superscript"/>
              </w:rPr>
            </w:pPr>
            <w:r w:rsidRPr="00CB6363">
              <w:t>Ямало-Ненецкий авт.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21760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23718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18714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21107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vertAlign w:val="superscript"/>
              </w:rPr>
            </w:pPr>
            <w:r w:rsidRPr="00CB6363">
              <w:lastRenderedPageBreak/>
              <w:t>Тюменская область без авт. округов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15453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16844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13290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14989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14279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15564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12280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14706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Сибирский федеральный округ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14090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Тыва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15608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17013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13423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15155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Хакасия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15762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17181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13555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15876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Алтайский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12608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13975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17153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18697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14752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17408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16380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17854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14087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15889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15328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12093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13844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15317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16696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13173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15871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Омская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13723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14958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11802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14169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16507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13024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15995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 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16844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18360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14486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16886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Республика Саха (Якутия)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23334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25434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20067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23801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18080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19707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15549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18606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27602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30086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23738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29398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18389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20044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15815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19029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Хабаровский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19937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21731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17146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21965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Амурская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17823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19427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15328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18953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26888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29308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23124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29501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  <w:rPr>
                <w:vertAlign w:val="superscript"/>
              </w:rPr>
            </w:pPr>
            <w:r w:rsidRPr="00CB6363">
              <w:t>Сахалинская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21016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22907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18074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21715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20185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22002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17359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20301</w:t>
            </w:r>
          </w:p>
        </w:tc>
      </w:tr>
      <w:tr w:rsidR="00F0194D" w:rsidRPr="00CB6363" w:rsidTr="00CB6363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94D" w:rsidRPr="00CB6363" w:rsidRDefault="00F0194D" w:rsidP="00BB135C">
            <w:pPr>
              <w:spacing w:line="260" w:lineRule="exact"/>
            </w:pPr>
            <w:r w:rsidRPr="00CB6363">
              <w:t>Чукотский авт.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40332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43962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34686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94D" w:rsidRPr="00CB6363" w:rsidRDefault="00F0194D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39122</w:t>
            </w:r>
          </w:p>
        </w:tc>
      </w:tr>
    </w:tbl>
    <w:p w:rsidR="0073537F" w:rsidRPr="00CD1B27" w:rsidRDefault="0073537F" w:rsidP="00056F50">
      <w:pPr>
        <w:pStyle w:val="aa"/>
        <w:ind w:left="720"/>
        <w:rPr>
          <w:sz w:val="24"/>
          <w:szCs w:val="24"/>
        </w:rPr>
      </w:pPr>
      <w:bookmarkStart w:id="0" w:name="_GoBack"/>
      <w:bookmarkEnd w:id="0"/>
    </w:p>
    <w:sectPr w:rsidR="0073537F" w:rsidRPr="00CD1B27" w:rsidSect="00056F50">
      <w:headerReference w:type="default" r:id="rId9"/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D" w:rsidRDefault="00F0194D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56F5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AB47-DE21-47E4-8FF2-BAD4D4A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606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2024-03-27T11:01:00Z</dcterms:modified>
</cp:coreProperties>
</file>