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47" w:rsidRPr="00581080" w:rsidRDefault="00870447" w:rsidP="00870447">
      <w:pPr>
        <w:pStyle w:val="ZAGG"/>
        <w:spacing w:after="60" w:line="240" w:lineRule="auto"/>
        <w:rPr>
          <w:b w:val="0"/>
          <w:caps w:val="0"/>
          <w:color w:val="auto"/>
          <w:sz w:val="14"/>
          <w:szCs w:val="14"/>
        </w:rPr>
      </w:pPr>
      <w:bookmarkStart w:id="0" w:name="_GoBack"/>
      <w:bookmarkEnd w:id="0"/>
      <w:r w:rsidRPr="00581080">
        <w:rPr>
          <w:rStyle w:val="ZAGG2"/>
          <w:b/>
          <w:color w:val="auto"/>
        </w:rPr>
        <w:t>3.14. ОБЕСПЕЧЕННОСТЬ НАСЕЛЕНИЯ КАЧЕСТВЕННОЙ ПИТЬЕВОЙ ВОДОЙ</w:t>
      </w:r>
      <w:proofErr w:type="gramStart"/>
      <w:r w:rsidRPr="00581080">
        <w:rPr>
          <w:rStyle w:val="ZAGG2"/>
          <w:b/>
          <w:color w:val="auto"/>
          <w:vertAlign w:val="superscript"/>
        </w:rPr>
        <w:t>1</w:t>
      </w:r>
      <w:proofErr w:type="gramEnd"/>
      <w:r w:rsidRPr="00581080">
        <w:rPr>
          <w:rStyle w:val="ZAGG2"/>
          <w:b/>
          <w:color w:val="auto"/>
          <w:vertAlign w:val="superscript"/>
        </w:rPr>
        <w:t>)</w:t>
      </w:r>
      <w:r w:rsidRPr="00581080">
        <w:rPr>
          <w:color w:val="auto"/>
          <w:vertAlign w:val="superscript"/>
        </w:rPr>
        <w:t xml:space="preserve"> </w:t>
      </w:r>
      <w:r w:rsidRPr="00581080">
        <w:rPr>
          <w:color w:val="auto"/>
        </w:rPr>
        <w:br/>
      </w:r>
      <w:r w:rsidRPr="00581080">
        <w:rPr>
          <w:b w:val="0"/>
          <w:caps w:val="0"/>
          <w:color w:val="auto"/>
          <w:sz w:val="14"/>
          <w:szCs w:val="14"/>
        </w:rPr>
        <w:t>(тысяч человек)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035"/>
        <w:gridCol w:w="1036"/>
        <w:gridCol w:w="1035"/>
      </w:tblGrid>
      <w:tr w:rsidR="00870447" w:rsidRPr="00581080" w:rsidTr="0050467B">
        <w:trPr>
          <w:trHeight w:val="175"/>
          <w:jc w:val="center"/>
        </w:trPr>
        <w:tc>
          <w:tcPr>
            <w:tcW w:w="2658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870447" w:rsidRPr="00581080" w:rsidRDefault="00870447" w:rsidP="0050467B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center"/>
            <w:hideMark/>
          </w:tcPr>
          <w:p w:rsidR="00870447" w:rsidRPr="00581080" w:rsidRDefault="00870447" w:rsidP="0050467B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center"/>
            <w:hideMark/>
          </w:tcPr>
          <w:p w:rsidR="00870447" w:rsidRPr="00581080" w:rsidRDefault="00870447" w:rsidP="0050467B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60" w:after="60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2021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Всего проживающего населения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146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738,3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145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661</w:t>
            </w:r>
            <w:r w:rsidRPr="00FF422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,2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146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202,7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в том числе: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gramStart"/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обеспечены</w:t>
            </w:r>
            <w:proofErr w:type="gramEnd"/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качественной </w:t>
            </w: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br/>
              <w:t>питьевой водой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129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581,8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130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236,5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131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615,5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708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из них: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42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из систем централизованного водоснабжения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125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510,2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126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051,5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127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650,9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gramStart"/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обеспечены</w:t>
            </w:r>
            <w:proofErr w:type="gramEnd"/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некачественной питьевой водой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11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645,7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10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550,1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10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313,3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708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из них: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42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из систем централизованного водоснабжения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10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173,8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val="en-US" w:eastAsia="en-US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val="en-US" w:eastAsia="en-US"/>
              </w:rPr>
              <w:t>146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,3</w:t>
            </w:r>
          </w:p>
        </w:tc>
        <w:tc>
          <w:tcPr>
            <w:tcW w:w="7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091,9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население, в населенных </w:t>
            </w: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br/>
              <w:t>пунктах проживания, которых вода не исследовалась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510,8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874,5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273,9</w:t>
            </w: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708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из них: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870447" w:rsidRPr="00581080" w:rsidTr="0050467B">
        <w:trPr>
          <w:trHeight w:val="60"/>
          <w:jc w:val="center"/>
        </w:trPr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EFF"/>
            <w:hideMark/>
          </w:tcPr>
          <w:p w:rsidR="00870447" w:rsidRPr="00581080" w:rsidRDefault="00870447" w:rsidP="0050467B">
            <w:pPr>
              <w:spacing w:before="80" w:line="160" w:lineRule="exact"/>
              <w:ind w:left="426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81080">
              <w:rPr>
                <w:rFonts w:ascii="Arial" w:hAnsi="Arial" w:cs="Arial"/>
                <w:sz w:val="14"/>
                <w:szCs w:val="14"/>
                <w:lang w:eastAsia="en-US"/>
              </w:rPr>
              <w:t>из систем централизованного водоснабжения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953,9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944,2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0447" w:rsidRPr="00FF422C" w:rsidRDefault="00870447" w:rsidP="0050467B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  <w:t> </w:t>
            </w:r>
            <w:r w:rsidRPr="00FF422C">
              <w:rPr>
                <w:rFonts w:ascii="Arial" w:hAnsi="Arial" w:cs="Arial"/>
                <w:sz w:val="14"/>
                <w:szCs w:val="14"/>
                <w:lang w:eastAsia="en-US"/>
              </w:rPr>
              <w:t>492,3</w:t>
            </w:r>
          </w:p>
        </w:tc>
      </w:tr>
    </w:tbl>
    <w:p w:rsidR="00870447" w:rsidRDefault="00870447" w:rsidP="00870447">
      <w:pPr>
        <w:pStyle w:val="a3"/>
        <w:spacing w:before="60" w:line="240" w:lineRule="auto"/>
        <w:rPr>
          <w:rFonts w:cs="Arial"/>
          <w:color w:val="auto"/>
          <w:lang w:val="ru-RU"/>
        </w:rPr>
      </w:pPr>
      <w:r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</w:rPr>
        <w:t xml:space="preserve"> По данным </w:t>
      </w:r>
      <w:proofErr w:type="spellStart"/>
      <w:r>
        <w:rPr>
          <w:rFonts w:cs="Arial"/>
          <w:color w:val="auto"/>
        </w:rPr>
        <w:t>Рос</w:t>
      </w:r>
      <w:r>
        <w:rPr>
          <w:rFonts w:cs="Arial"/>
          <w:color w:val="auto"/>
          <w:lang w:val="ru-RU"/>
        </w:rPr>
        <w:t>потребнадзора</w:t>
      </w:r>
      <w:proofErr w:type="spellEnd"/>
      <w:r>
        <w:rPr>
          <w:rFonts w:cs="Arial"/>
          <w:color w:val="auto"/>
        </w:rPr>
        <w:t>.</w:t>
      </w:r>
    </w:p>
    <w:p w:rsidR="00471E16" w:rsidRPr="00BE23A3" w:rsidRDefault="00471E16" w:rsidP="00BE23A3"/>
    <w:sectPr w:rsidR="00471E16" w:rsidRPr="00BE23A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41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</cp:revision>
  <cp:lastPrinted>2022-11-30T06:30:00Z</cp:lastPrinted>
  <dcterms:created xsi:type="dcterms:W3CDTF">2022-12-09T11:12:00Z</dcterms:created>
  <dcterms:modified xsi:type="dcterms:W3CDTF">2022-12-09T11:15:00Z</dcterms:modified>
</cp:coreProperties>
</file>