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FB" w:rsidRPr="00734FFB" w:rsidRDefault="00734FFB" w:rsidP="00734FFB">
      <w:pPr>
        <w:pStyle w:val="af5"/>
        <w:spacing w:after="0"/>
        <w:ind w:left="0"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sz w:val="16"/>
          <w:szCs w:val="16"/>
        </w:rPr>
        <w:t xml:space="preserve">Финансовая сфера страны представляет особый интерес для экономического </w:t>
      </w:r>
      <w:r w:rsidRPr="00734FFB">
        <w:rPr>
          <w:rFonts w:ascii="Arial" w:hAnsi="Arial" w:cs="Arial"/>
          <w:sz w:val="16"/>
          <w:szCs w:val="16"/>
        </w:rPr>
        <w:br/>
        <w:t xml:space="preserve">анализа и международных сопоставлений. Каждая страна имеет специфику своей </w:t>
      </w:r>
      <w:r w:rsidRPr="00734FFB">
        <w:rPr>
          <w:rFonts w:ascii="Arial" w:hAnsi="Arial" w:cs="Arial"/>
          <w:sz w:val="16"/>
          <w:szCs w:val="16"/>
        </w:rPr>
        <w:br/>
        <w:t xml:space="preserve">финансовой системы. Тем не </w:t>
      </w:r>
      <w:proofErr w:type="gramStart"/>
      <w:r w:rsidRPr="00734FFB">
        <w:rPr>
          <w:rFonts w:ascii="Arial" w:hAnsi="Arial" w:cs="Arial"/>
          <w:sz w:val="16"/>
          <w:szCs w:val="16"/>
        </w:rPr>
        <w:t>менее</w:t>
      </w:r>
      <w:proofErr w:type="gramEnd"/>
      <w:r w:rsidRPr="00734FFB">
        <w:rPr>
          <w:rFonts w:ascii="Arial" w:hAnsi="Arial" w:cs="Arial"/>
          <w:sz w:val="16"/>
          <w:szCs w:val="16"/>
        </w:rPr>
        <w:t xml:space="preserve"> сравнение показателей состояния и развития </w:t>
      </w:r>
      <w:r w:rsidRPr="00734FFB">
        <w:rPr>
          <w:rFonts w:ascii="Arial" w:hAnsi="Arial" w:cs="Arial"/>
          <w:sz w:val="16"/>
          <w:szCs w:val="16"/>
        </w:rPr>
        <w:br/>
        <w:t xml:space="preserve">финансового сектора дает представление об уровне стабильности функционирования национальной хозяйственной системы страны и о проблемах, складывающихся </w:t>
      </w:r>
      <w:r w:rsidRPr="00734FFB">
        <w:rPr>
          <w:rFonts w:ascii="Arial" w:hAnsi="Arial" w:cs="Arial"/>
          <w:sz w:val="16"/>
          <w:szCs w:val="16"/>
        </w:rPr>
        <w:br/>
      </w:r>
      <w:r w:rsidRPr="00734FFB">
        <w:rPr>
          <w:rFonts w:ascii="Arial" w:hAnsi="Arial" w:cs="Arial"/>
          <w:spacing w:val="-2"/>
          <w:sz w:val="16"/>
          <w:szCs w:val="16"/>
        </w:rPr>
        <w:t>в процессе функционирования рыночного механизма и государственного регулирования</w:t>
      </w:r>
      <w:r w:rsidRPr="00734FFB">
        <w:rPr>
          <w:rFonts w:ascii="Arial" w:hAnsi="Arial" w:cs="Arial"/>
          <w:sz w:val="16"/>
          <w:szCs w:val="16"/>
        </w:rPr>
        <w:t xml:space="preserve"> экономики. </w:t>
      </w:r>
    </w:p>
    <w:p w:rsidR="00734FFB" w:rsidRPr="00734FFB" w:rsidRDefault="00734FFB" w:rsidP="00734FFB">
      <w:pPr>
        <w:pStyle w:val="af5"/>
        <w:spacing w:after="0"/>
        <w:ind w:left="0"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sz w:val="16"/>
          <w:szCs w:val="16"/>
        </w:rPr>
        <w:t xml:space="preserve">Важными показателями деятельности финансовой сферы являются </w:t>
      </w:r>
      <w:r w:rsidRPr="00734FFB">
        <w:rPr>
          <w:rFonts w:ascii="Arial" w:hAnsi="Arial" w:cs="Arial"/>
          <w:sz w:val="16"/>
          <w:szCs w:val="16"/>
        </w:rPr>
        <w:br/>
        <w:t xml:space="preserve">показатели статистики государственных бюджетов стран. В разделе приводятся </w:t>
      </w:r>
      <w:r w:rsidRPr="00734FFB">
        <w:rPr>
          <w:rFonts w:ascii="Arial" w:hAnsi="Arial" w:cs="Arial"/>
          <w:sz w:val="16"/>
          <w:szCs w:val="16"/>
        </w:rPr>
        <w:br/>
        <w:t xml:space="preserve">данные о доходах и расходах государственного бюджета </w:t>
      </w:r>
      <w:r w:rsidRPr="00734FFB">
        <w:rPr>
          <w:rFonts w:ascii="Arial" w:hAnsi="Arial" w:cs="Arial"/>
          <w:sz w:val="16"/>
          <w:szCs w:val="16"/>
        </w:rPr>
        <w:sym w:font="Symbol" w:char="F02D"/>
      </w:r>
      <w:r w:rsidRPr="00734FFB">
        <w:rPr>
          <w:rFonts w:ascii="Arial" w:hAnsi="Arial" w:cs="Arial"/>
          <w:sz w:val="16"/>
          <w:szCs w:val="16"/>
        </w:rPr>
        <w:t xml:space="preserve"> основного финансового </w:t>
      </w:r>
      <w:r w:rsidRPr="00734FFB">
        <w:rPr>
          <w:rFonts w:ascii="Arial" w:hAnsi="Arial" w:cs="Arial"/>
          <w:sz w:val="16"/>
          <w:szCs w:val="16"/>
        </w:rPr>
        <w:br/>
      </w:r>
      <w:r w:rsidRPr="00734FFB">
        <w:rPr>
          <w:rFonts w:ascii="Arial" w:hAnsi="Arial" w:cs="Arial"/>
          <w:spacing w:val="-2"/>
          <w:sz w:val="16"/>
          <w:szCs w:val="16"/>
        </w:rPr>
        <w:t>инструмента формирования и использования денежных ресурсов различных государств</w:t>
      </w:r>
      <w:r w:rsidRPr="00734FFB">
        <w:rPr>
          <w:rFonts w:ascii="Arial" w:hAnsi="Arial" w:cs="Arial"/>
          <w:sz w:val="16"/>
          <w:szCs w:val="16"/>
        </w:rPr>
        <w:t xml:space="preserve">. 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sz w:val="16"/>
          <w:szCs w:val="16"/>
        </w:rPr>
        <w:t>Приводятся также сравнительные данные об объеме денежной массы в отдельных странах. Сравнение темпов роста этого показателя с динамикой ВВП дает при прочих равных условиях представление о роли денежного фактора в динамике цен в данной стране.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sz w:val="16"/>
          <w:szCs w:val="16"/>
        </w:rPr>
        <w:t xml:space="preserve">Сравнение уровня процентных ставок по кредитам и депозитам отдельных стран позволяет оценить различия стран в подходе к осуществлению долгосрочной </w:t>
      </w:r>
      <w:r w:rsidRPr="00734FFB">
        <w:rPr>
          <w:rFonts w:ascii="Arial" w:hAnsi="Arial" w:cs="Arial"/>
          <w:sz w:val="16"/>
          <w:szCs w:val="16"/>
        </w:rPr>
        <w:br/>
        <w:t>и краткосрочной финансовой политики.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spacing w:val="-4"/>
          <w:sz w:val="16"/>
          <w:szCs w:val="16"/>
        </w:rPr>
        <w:t xml:space="preserve">В целях обеспечения методологической сопоставимости показателей </w:t>
      </w:r>
      <w:r w:rsidRPr="00734FFB">
        <w:rPr>
          <w:rFonts w:ascii="Arial" w:hAnsi="Arial" w:cs="Arial"/>
          <w:spacing w:val="-4"/>
          <w:sz w:val="16"/>
          <w:szCs w:val="16"/>
        </w:rPr>
        <w:br/>
        <w:t>в табл. 11.4–11.6</w:t>
      </w:r>
      <w:r w:rsidRPr="00734FFB">
        <w:rPr>
          <w:rFonts w:ascii="Arial" w:hAnsi="Arial" w:cs="Arial"/>
          <w:sz w:val="16"/>
          <w:szCs w:val="16"/>
        </w:rPr>
        <w:t xml:space="preserve"> информация по всем странам, включая Россию, приводится </w:t>
      </w:r>
      <w:r w:rsidRPr="00734FFB">
        <w:rPr>
          <w:rFonts w:ascii="Arial" w:hAnsi="Arial" w:cs="Arial"/>
          <w:sz w:val="16"/>
          <w:szCs w:val="16"/>
        </w:rPr>
        <w:br/>
        <w:t>по материалам МВФ.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sz w:val="16"/>
          <w:szCs w:val="16"/>
        </w:rPr>
        <w:t xml:space="preserve">В соответствии с методологией МВФ к </w:t>
      </w:r>
      <w:r w:rsidRPr="00734FFB">
        <w:rPr>
          <w:rFonts w:ascii="Arial" w:hAnsi="Arial" w:cs="Arial"/>
          <w:b/>
          <w:bCs/>
          <w:sz w:val="16"/>
          <w:szCs w:val="16"/>
        </w:rPr>
        <w:t>доходам государственного бюджета</w:t>
      </w:r>
      <w:r w:rsidRPr="00734FFB">
        <w:rPr>
          <w:rFonts w:ascii="Arial" w:hAnsi="Arial" w:cs="Arial"/>
          <w:sz w:val="16"/>
          <w:szCs w:val="16"/>
        </w:rPr>
        <w:t xml:space="preserve"> </w:t>
      </w:r>
      <w:r w:rsidRPr="00734FFB">
        <w:rPr>
          <w:rFonts w:ascii="Arial" w:hAnsi="Arial" w:cs="Arial"/>
          <w:sz w:val="16"/>
          <w:szCs w:val="16"/>
        </w:rPr>
        <w:br/>
        <w:t xml:space="preserve">относятся операции, в результате которых происходит увеличение чистого капитала сектора государственного управления. Они охватывают налоги, отчисления </w:t>
      </w:r>
      <w:r w:rsidRPr="00734FFB">
        <w:rPr>
          <w:rFonts w:ascii="Arial" w:hAnsi="Arial" w:cs="Arial"/>
          <w:sz w:val="16"/>
          <w:szCs w:val="16"/>
        </w:rPr>
        <w:br/>
      </w:r>
      <w:r w:rsidRPr="00734FFB">
        <w:rPr>
          <w:rFonts w:ascii="Arial" w:hAnsi="Arial" w:cs="Arial"/>
          <w:spacing w:val="-4"/>
          <w:sz w:val="16"/>
          <w:szCs w:val="16"/>
        </w:rPr>
        <w:t>на социальное страхование, официальные трансферты, другие доходы (от собственности,</w:t>
      </w:r>
      <w:r w:rsidRPr="00734FFB">
        <w:rPr>
          <w:rFonts w:ascii="Arial" w:hAnsi="Arial" w:cs="Arial"/>
          <w:sz w:val="16"/>
          <w:szCs w:val="16"/>
        </w:rPr>
        <w:t xml:space="preserve"> от продажи товаров и услуг, штрафы, пени, прочие текущие трансферты).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b/>
          <w:bCs/>
          <w:spacing w:val="-4"/>
          <w:sz w:val="16"/>
          <w:szCs w:val="16"/>
        </w:rPr>
        <w:t>Официальные трансферты</w:t>
      </w:r>
      <w:r w:rsidRPr="00734FFB">
        <w:rPr>
          <w:rFonts w:ascii="Arial" w:hAnsi="Arial" w:cs="Arial"/>
          <w:spacing w:val="-4"/>
          <w:sz w:val="16"/>
          <w:szCs w:val="16"/>
        </w:rPr>
        <w:t xml:space="preserve"> представляют трансферты, полученные от правитель</w:t>
      </w:r>
      <w:proofErr w:type="gramStart"/>
      <w:r w:rsidRPr="00734FFB">
        <w:rPr>
          <w:rFonts w:ascii="Arial" w:hAnsi="Arial" w:cs="Arial"/>
          <w:spacing w:val="-4"/>
          <w:sz w:val="16"/>
          <w:szCs w:val="16"/>
        </w:rPr>
        <w:t>ств</w:t>
      </w:r>
      <w:r w:rsidRPr="00734FFB">
        <w:rPr>
          <w:rFonts w:ascii="Arial" w:hAnsi="Arial" w:cs="Arial"/>
          <w:sz w:val="16"/>
          <w:szCs w:val="16"/>
        </w:rPr>
        <w:t xml:space="preserve"> др</w:t>
      </w:r>
      <w:proofErr w:type="gramEnd"/>
      <w:r w:rsidRPr="00734FFB">
        <w:rPr>
          <w:rFonts w:ascii="Arial" w:hAnsi="Arial" w:cs="Arial"/>
          <w:sz w:val="16"/>
          <w:szCs w:val="16"/>
        </w:rPr>
        <w:t>угих стран или международных организаций.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sz w:val="16"/>
          <w:szCs w:val="16"/>
        </w:rPr>
        <w:t xml:space="preserve">К </w:t>
      </w:r>
      <w:r w:rsidRPr="00734FFB">
        <w:rPr>
          <w:rFonts w:ascii="Arial" w:hAnsi="Arial" w:cs="Arial"/>
          <w:b/>
          <w:bCs/>
          <w:sz w:val="16"/>
          <w:szCs w:val="16"/>
        </w:rPr>
        <w:t>расходам государственного бюджета</w:t>
      </w:r>
      <w:r w:rsidRPr="00734FFB">
        <w:rPr>
          <w:rFonts w:ascii="Arial" w:hAnsi="Arial" w:cs="Arial"/>
          <w:sz w:val="16"/>
          <w:szCs w:val="16"/>
        </w:rPr>
        <w:t xml:space="preserve"> относятся операции, в результате </w:t>
      </w:r>
      <w:r w:rsidRPr="00734FFB">
        <w:rPr>
          <w:rFonts w:ascii="Arial" w:hAnsi="Arial" w:cs="Arial"/>
          <w:sz w:val="16"/>
          <w:szCs w:val="16"/>
        </w:rPr>
        <w:br/>
      </w:r>
      <w:r w:rsidRPr="00734FFB">
        <w:rPr>
          <w:rFonts w:ascii="Arial" w:hAnsi="Arial" w:cs="Arial"/>
          <w:spacing w:val="-2"/>
          <w:sz w:val="16"/>
          <w:szCs w:val="16"/>
        </w:rPr>
        <w:t>которых происходит уменьшение чистого капитала сектора государственного управления</w:t>
      </w:r>
      <w:r w:rsidRPr="00734FFB">
        <w:rPr>
          <w:rFonts w:ascii="Arial" w:hAnsi="Arial" w:cs="Arial"/>
          <w:sz w:val="16"/>
          <w:szCs w:val="16"/>
        </w:rPr>
        <w:t>. По своему экономическому типу они охватывают оплату труда, использование товаров и услуг, потребление основного капитала, социальные пособия и выплаты, субсидии, официальные трансферты, прочие расходы.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b/>
          <w:sz w:val="16"/>
          <w:szCs w:val="16"/>
        </w:rPr>
        <w:t>Денежный агрегат М</w:t>
      </w:r>
      <w:proofErr w:type="gramStart"/>
      <w:r w:rsidRPr="00734FFB">
        <w:rPr>
          <w:rFonts w:ascii="Arial" w:hAnsi="Arial" w:cs="Arial"/>
          <w:b/>
          <w:sz w:val="16"/>
          <w:szCs w:val="16"/>
          <w:vertAlign w:val="subscript"/>
        </w:rPr>
        <w:t>0</w:t>
      </w:r>
      <w:proofErr w:type="gramEnd"/>
      <w:r w:rsidRPr="00734FFB">
        <w:rPr>
          <w:rFonts w:ascii="Arial" w:hAnsi="Arial" w:cs="Arial"/>
          <w:sz w:val="16"/>
          <w:szCs w:val="16"/>
        </w:rPr>
        <w:t xml:space="preserve"> (наличные деньги в обращении) – наиболее ликвидная часть денежной массы, доступная для немедленного использования в качестве платежного средства. Включает банкноты и монету в обращении.</w:t>
      </w:r>
    </w:p>
    <w:p w:rsidR="00734FFB" w:rsidRPr="00734FFB" w:rsidRDefault="00734FFB" w:rsidP="00734FFB">
      <w:pPr>
        <w:pStyle w:val="af5"/>
        <w:spacing w:after="0"/>
        <w:ind w:left="0"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734FFB">
        <w:rPr>
          <w:rFonts w:ascii="Arial" w:hAnsi="Arial" w:cs="Arial"/>
          <w:b/>
          <w:bCs/>
          <w:spacing w:val="-2"/>
          <w:sz w:val="16"/>
          <w:szCs w:val="16"/>
        </w:rPr>
        <w:t>Резервные активы органов денежно-кредитного регулирования</w:t>
      </w:r>
      <w:r w:rsidRPr="00734FFB">
        <w:rPr>
          <w:rFonts w:ascii="Arial" w:hAnsi="Arial" w:cs="Arial"/>
          <w:spacing w:val="-2"/>
          <w:sz w:val="16"/>
          <w:szCs w:val="16"/>
        </w:rPr>
        <w:t xml:space="preserve"> складываются </w:t>
      </w:r>
      <w:r w:rsidRPr="00734FFB">
        <w:rPr>
          <w:rFonts w:ascii="Arial" w:hAnsi="Arial" w:cs="Arial"/>
          <w:spacing w:val="-2"/>
          <w:sz w:val="16"/>
          <w:szCs w:val="16"/>
        </w:rPr>
        <w:br/>
        <w:t>из активов в иностранной валюте, монетарного золота, специальных прав заимствования (СДР), резервной позиции</w:t>
      </w:r>
      <w:r w:rsidRPr="00734FFB">
        <w:rPr>
          <w:rFonts w:ascii="Arial" w:hAnsi="Arial" w:cs="Arial"/>
          <w:sz w:val="16"/>
          <w:szCs w:val="16"/>
        </w:rPr>
        <w:t xml:space="preserve"> в МВФ</w:t>
      </w:r>
      <w:r w:rsidRPr="00734FFB">
        <w:rPr>
          <w:rFonts w:ascii="Arial" w:hAnsi="Arial" w:cs="Arial"/>
          <w:spacing w:val="-2"/>
          <w:sz w:val="16"/>
          <w:szCs w:val="16"/>
        </w:rPr>
        <w:t>, прочих резервных активов.</w:t>
      </w:r>
    </w:p>
    <w:p w:rsidR="00734FFB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b/>
          <w:sz w:val="16"/>
          <w:szCs w:val="16"/>
        </w:rPr>
        <w:t>Монетарное золото</w:t>
      </w:r>
      <w:r w:rsidRPr="00734FFB">
        <w:rPr>
          <w:rFonts w:ascii="Arial" w:hAnsi="Arial" w:cs="Arial"/>
          <w:sz w:val="16"/>
          <w:szCs w:val="16"/>
        </w:rPr>
        <w:t xml:space="preserve"> – золото, принадлежащее органам денежно-кредитного </w:t>
      </w:r>
      <w:r w:rsidRPr="00734FFB">
        <w:rPr>
          <w:rFonts w:ascii="Arial" w:hAnsi="Arial" w:cs="Arial"/>
          <w:sz w:val="16"/>
          <w:szCs w:val="16"/>
        </w:rPr>
        <w:br/>
        <w:t>регулирования, которое может выступать в качестве платежного средства.</w:t>
      </w:r>
    </w:p>
    <w:p w:rsidR="00FD037C" w:rsidRPr="00734FFB" w:rsidRDefault="00734FFB" w:rsidP="00734F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34FFB">
        <w:rPr>
          <w:rFonts w:ascii="Arial" w:hAnsi="Arial" w:cs="Arial"/>
          <w:b/>
          <w:sz w:val="16"/>
          <w:szCs w:val="16"/>
        </w:rPr>
        <w:t xml:space="preserve">Специальные права заимствования </w:t>
      </w:r>
      <w:r w:rsidRPr="00734FFB">
        <w:rPr>
          <w:rFonts w:ascii="Arial" w:hAnsi="Arial" w:cs="Arial"/>
          <w:sz w:val="16"/>
          <w:szCs w:val="16"/>
        </w:rPr>
        <w:t xml:space="preserve">– международные резервные активы, </w:t>
      </w:r>
      <w:r w:rsidRPr="00734FFB">
        <w:rPr>
          <w:rFonts w:ascii="Arial" w:hAnsi="Arial" w:cs="Arial"/>
          <w:sz w:val="16"/>
          <w:szCs w:val="16"/>
        </w:rPr>
        <w:br/>
        <w:t xml:space="preserve">выпускаемые МВФ с целью пополнения статей резервных активов и периодически </w:t>
      </w:r>
      <w:r w:rsidRPr="00734FFB">
        <w:rPr>
          <w:rFonts w:ascii="Arial" w:hAnsi="Arial" w:cs="Arial"/>
          <w:sz w:val="16"/>
          <w:szCs w:val="16"/>
        </w:rPr>
        <w:br/>
        <w:t>распределяемые между государствами-членами МВФ пропорционально квоте этих стран.</w:t>
      </w:r>
      <w:bookmarkStart w:id="0" w:name="_GoBack"/>
      <w:bookmarkEnd w:id="0"/>
    </w:p>
    <w:sectPr w:rsidR="00FD037C" w:rsidRPr="00734FF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734FFB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3E55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4FFB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875D-A40E-4686-B330-2D092AAF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2023-02-08T08:12:00Z</dcterms:modified>
</cp:coreProperties>
</file>