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A3" w:rsidRPr="000F4DA3" w:rsidRDefault="000F4DA3" w:rsidP="000F4DA3">
      <w:pPr>
        <w:pStyle w:val="a4"/>
        <w:overflowPunct/>
        <w:autoSpaceDE/>
        <w:autoSpaceDN/>
        <w:adjustRightInd/>
        <w:spacing w:after="240" w:line="240" w:lineRule="exact"/>
        <w:ind w:left="0"/>
        <w:jc w:val="center"/>
        <w:textAlignment w:val="auto"/>
        <w:rPr>
          <w:rFonts w:ascii="Arial" w:hAnsi="Arial" w:cs="Arial"/>
          <w:b/>
          <w:sz w:val="16"/>
          <w:szCs w:val="16"/>
        </w:rPr>
      </w:pPr>
      <w:r w:rsidRPr="000F4DA3">
        <w:rPr>
          <w:rFonts w:ascii="Arial" w:hAnsi="Arial" w:cs="Arial"/>
          <w:b/>
          <w:sz w:val="16"/>
          <w:szCs w:val="16"/>
        </w:rPr>
        <w:t>МЕТОДОЛОГИЧЕСКИЕ ПОЯСНЕНИЯ</w:t>
      </w:r>
    </w:p>
    <w:p w:rsidR="006644B5" w:rsidRDefault="006644B5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Табл. 5.1 – 5.5</w:t>
      </w:r>
      <w:r w:rsidRPr="006644B5">
        <w:rPr>
          <w:rFonts w:ascii="Arial" w:hAnsi="Arial" w:cs="Arial"/>
          <w:b/>
          <w:bCs/>
          <w:sz w:val="16"/>
          <w:szCs w:val="16"/>
        </w:rPr>
        <w:t xml:space="preserve">, 5.7. </w:t>
      </w:r>
      <w:proofErr w:type="gramStart"/>
      <w:r w:rsidRPr="006644B5">
        <w:rPr>
          <w:rFonts w:ascii="Arial" w:hAnsi="Arial" w:cs="Arial"/>
          <w:b/>
          <w:bCs/>
          <w:sz w:val="16"/>
          <w:szCs w:val="16"/>
        </w:rPr>
        <w:t xml:space="preserve">Общая площадь жилых помещений во введенных 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6644B5">
        <w:rPr>
          <w:rFonts w:ascii="Arial" w:hAnsi="Arial" w:cs="Arial"/>
          <w:b/>
          <w:bCs/>
          <w:sz w:val="16"/>
          <w:szCs w:val="16"/>
        </w:rPr>
        <w:t xml:space="preserve">в эксплуатацию жилых и нежилых зданиях, жилых домах </w:t>
      </w:r>
      <w:r w:rsidRPr="006644B5">
        <w:rPr>
          <w:rFonts w:ascii="Arial" w:hAnsi="Arial" w:cs="Arial"/>
          <w:sz w:val="16"/>
          <w:szCs w:val="16"/>
        </w:rPr>
        <w:t xml:space="preserve">определяется как сумма площадей всех частей жилых помещений, включая площадь помещений вспомогательного использования, предназначенных  для удовлетворения гражданами бытовых и иных нужд, связанных с их проживанием в жилом помещении, площадей лоджий, балконов, веранд, террас, подсчитываемых с соответствующими понижающими коэффициентами, а также жилых и подсобных помещений </w:t>
      </w:r>
      <w:r>
        <w:rPr>
          <w:rFonts w:ascii="Arial" w:hAnsi="Arial" w:cs="Arial"/>
          <w:sz w:val="16"/>
          <w:szCs w:val="16"/>
        </w:rPr>
        <w:br/>
      </w:r>
      <w:r w:rsidRPr="006644B5">
        <w:rPr>
          <w:rFonts w:ascii="Arial" w:hAnsi="Arial" w:cs="Arial"/>
          <w:sz w:val="16"/>
          <w:szCs w:val="16"/>
        </w:rPr>
        <w:t>в построенных</w:t>
      </w:r>
      <w:proofErr w:type="gramEnd"/>
      <w:r w:rsidRPr="006644B5">
        <w:rPr>
          <w:rFonts w:ascii="Arial" w:hAnsi="Arial" w:cs="Arial"/>
          <w:sz w:val="16"/>
          <w:szCs w:val="16"/>
        </w:rPr>
        <w:t xml:space="preserve"> населением индивидуальных жилых </w:t>
      </w:r>
      <w:proofErr w:type="gramStart"/>
      <w:r w:rsidRPr="006644B5">
        <w:rPr>
          <w:rFonts w:ascii="Arial" w:hAnsi="Arial" w:cs="Arial"/>
          <w:sz w:val="16"/>
          <w:szCs w:val="16"/>
        </w:rPr>
        <w:t>домах</w:t>
      </w:r>
      <w:proofErr w:type="gramEnd"/>
      <w:r w:rsidRPr="006644B5">
        <w:rPr>
          <w:rFonts w:ascii="Arial" w:hAnsi="Arial" w:cs="Arial"/>
          <w:sz w:val="16"/>
          <w:szCs w:val="16"/>
        </w:rPr>
        <w:t>. К помещениям вспомогательного использования относятся кухни, передние, холлы, внутриквартирные коридоры, ванные или душевые, туалеты, кладовые или хозяйственные встроенные шкафы. В домах-интернатах для престарелых  и инвалидов,</w:t>
      </w:r>
      <w:r w:rsidRPr="006644B5">
        <w:rPr>
          <w:rFonts w:ascii="Arial" w:hAnsi="Arial" w:cs="Arial"/>
          <w:sz w:val="16"/>
          <w:szCs w:val="16"/>
        </w:rPr>
        <w:t xml:space="preserve"> </w:t>
      </w:r>
      <w:r w:rsidRPr="006644B5">
        <w:rPr>
          <w:rFonts w:ascii="Arial" w:hAnsi="Arial" w:cs="Arial"/>
          <w:sz w:val="16"/>
          <w:szCs w:val="16"/>
        </w:rPr>
        <w:t>ветеранов, специальных домах для одиноких престарелых, детских домах  к подсобным помещениям относятся столовые, буфеты, клубы, читальни, спортивные залы,  приемные пункты бытового обслуживания и медицинского</w:t>
      </w:r>
      <w:r>
        <w:rPr>
          <w:rFonts w:ascii="Arial" w:hAnsi="Arial" w:cs="Arial"/>
          <w:sz w:val="16"/>
          <w:szCs w:val="16"/>
        </w:rPr>
        <w:t xml:space="preserve"> </w:t>
      </w:r>
      <w:r w:rsidRPr="006644B5">
        <w:rPr>
          <w:rFonts w:ascii="Arial" w:hAnsi="Arial" w:cs="Arial"/>
          <w:sz w:val="16"/>
          <w:szCs w:val="16"/>
        </w:rPr>
        <w:t>обслуживания.</w:t>
      </w:r>
    </w:p>
    <w:p w:rsidR="006644B5" w:rsidRDefault="0035754C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6644B5">
        <w:rPr>
          <w:rFonts w:ascii="Arial" w:hAnsi="Arial" w:cs="Arial"/>
          <w:sz w:val="16"/>
          <w:szCs w:val="16"/>
        </w:rPr>
        <w:t xml:space="preserve">В общую площадь введенных жилых домов не входит площадь вестибюлей, тамбуров, лестничных клеток, лифтовых холлов, общих коридоров, а также площадь </w:t>
      </w:r>
      <w:r w:rsidR="005C42D1">
        <w:rPr>
          <w:rFonts w:ascii="Arial" w:hAnsi="Arial" w:cs="Arial"/>
          <w:sz w:val="16"/>
          <w:szCs w:val="16"/>
        </w:rPr>
        <w:br/>
      </w:r>
      <w:r w:rsidRPr="006644B5">
        <w:rPr>
          <w:rFonts w:ascii="Arial" w:hAnsi="Arial" w:cs="Arial"/>
          <w:sz w:val="16"/>
          <w:szCs w:val="16"/>
        </w:rPr>
        <w:t>в жилых домах, предназначенная для встроено-пристроенных</w:t>
      </w:r>
      <w:r>
        <w:rPr>
          <w:rFonts w:ascii="Arial" w:hAnsi="Arial" w:cs="Arial"/>
          <w:sz w:val="16"/>
          <w:szCs w:val="16"/>
        </w:rPr>
        <w:t xml:space="preserve"> </w:t>
      </w:r>
      <w:r w:rsidRPr="006644B5">
        <w:rPr>
          <w:rFonts w:ascii="Arial" w:hAnsi="Arial" w:cs="Arial"/>
          <w:sz w:val="16"/>
          <w:szCs w:val="16"/>
        </w:rPr>
        <w:t>помещений.</w:t>
      </w:r>
    </w:p>
    <w:p w:rsidR="0035754C" w:rsidRDefault="005C42D1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6644B5">
        <w:rPr>
          <w:rFonts w:ascii="Arial" w:hAnsi="Arial" w:cs="Arial"/>
          <w:b/>
          <w:bCs/>
          <w:sz w:val="16"/>
          <w:szCs w:val="16"/>
        </w:rPr>
        <w:t xml:space="preserve">Число построенных квартир </w:t>
      </w:r>
      <w:r w:rsidRPr="006644B5">
        <w:rPr>
          <w:rFonts w:ascii="Arial" w:hAnsi="Arial" w:cs="Arial"/>
          <w:sz w:val="16"/>
          <w:szCs w:val="16"/>
        </w:rPr>
        <w:t xml:space="preserve">– включает число квартир в законченных строительством жилых домах квартирного, гостиничного типа и общежитиях, квартиры в нежилых зданиях, а также в построенных населением индивидуальных жилых домах. Индивидуальные жилые дома, построенные населением и предназначенные </w:t>
      </w:r>
      <w:r w:rsidR="00EF7FA4">
        <w:rPr>
          <w:rFonts w:ascii="Arial" w:hAnsi="Arial" w:cs="Arial"/>
          <w:sz w:val="16"/>
          <w:szCs w:val="16"/>
        </w:rPr>
        <w:br/>
      </w:r>
      <w:r w:rsidRPr="006644B5">
        <w:rPr>
          <w:rFonts w:ascii="Arial" w:hAnsi="Arial" w:cs="Arial"/>
          <w:sz w:val="16"/>
          <w:szCs w:val="16"/>
        </w:rPr>
        <w:t>для проживания одной семьи,</w:t>
      </w:r>
    </w:p>
    <w:p w:rsidR="0035754C" w:rsidRDefault="005C42D1" w:rsidP="005C42D1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5C42D1">
        <w:rPr>
          <w:rFonts w:ascii="Arial" w:hAnsi="Arial" w:cs="Arial"/>
          <w:b/>
          <w:sz w:val="16"/>
          <w:szCs w:val="16"/>
        </w:rPr>
        <w:t>Табл. 5.6.</w:t>
      </w:r>
      <w:r w:rsidRPr="005C42D1">
        <w:rPr>
          <w:rFonts w:ascii="Arial" w:hAnsi="Arial" w:cs="Arial"/>
          <w:sz w:val="16"/>
          <w:szCs w:val="16"/>
        </w:rPr>
        <w:t xml:space="preserve"> Число построенных квартир – включает число квартир в законченных строительством жилых домах квартирного, гостиничного типа и общежитиях, квартиры в нежилых зданиях, а также в построенных населением индивидуальных жилых домах. </w:t>
      </w:r>
      <w:proofErr w:type="gramStart"/>
      <w:r w:rsidRPr="005C42D1">
        <w:rPr>
          <w:rFonts w:ascii="Arial" w:hAnsi="Arial" w:cs="Arial"/>
          <w:sz w:val="16"/>
          <w:szCs w:val="16"/>
        </w:rPr>
        <w:t xml:space="preserve">Индивидуальные жилые дома, построенные населением и предназначенные </w:t>
      </w:r>
      <w:r w:rsidR="00EF7FA4">
        <w:rPr>
          <w:rFonts w:ascii="Arial" w:hAnsi="Arial" w:cs="Arial"/>
          <w:sz w:val="16"/>
          <w:szCs w:val="16"/>
        </w:rPr>
        <w:br/>
      </w:r>
      <w:r w:rsidRPr="005C42D1">
        <w:rPr>
          <w:rFonts w:ascii="Arial" w:hAnsi="Arial" w:cs="Arial"/>
          <w:sz w:val="16"/>
          <w:szCs w:val="16"/>
        </w:rPr>
        <w:t>для проживания одной семьи</w:t>
      </w:r>
      <w:r>
        <w:rPr>
          <w:rFonts w:ascii="Arial" w:hAnsi="Arial" w:cs="Arial"/>
          <w:sz w:val="16"/>
          <w:szCs w:val="16"/>
        </w:rPr>
        <w:t xml:space="preserve"> </w:t>
      </w:r>
      <w:r w:rsidRPr="006644B5">
        <w:rPr>
          <w:rFonts w:ascii="Arial" w:hAnsi="Arial" w:cs="Arial"/>
          <w:sz w:val="16"/>
          <w:szCs w:val="16"/>
        </w:rPr>
        <w:t>отражаются</w:t>
      </w:r>
      <w:proofErr w:type="gramEnd"/>
      <w:r w:rsidRPr="006644B5">
        <w:rPr>
          <w:rFonts w:ascii="Arial" w:hAnsi="Arial" w:cs="Arial"/>
          <w:sz w:val="16"/>
          <w:szCs w:val="16"/>
        </w:rPr>
        <w:t xml:space="preserve"> как одна квартира.</w:t>
      </w:r>
    </w:p>
    <w:p w:rsidR="00EF7FA4" w:rsidRPr="006644B5" w:rsidRDefault="00EF7FA4" w:rsidP="00EF7FA4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6644B5">
        <w:rPr>
          <w:rFonts w:ascii="Arial" w:hAnsi="Arial" w:cs="Arial"/>
          <w:b/>
          <w:bCs/>
          <w:sz w:val="16"/>
          <w:szCs w:val="16"/>
        </w:rPr>
        <w:t xml:space="preserve">Квартирой </w:t>
      </w:r>
      <w:r w:rsidRPr="006644B5">
        <w:rPr>
          <w:rFonts w:ascii="Arial" w:hAnsi="Arial" w:cs="Arial"/>
          <w:sz w:val="16"/>
          <w:szCs w:val="16"/>
        </w:rPr>
        <w:t>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 с их проживанием в таком обособленном помещении</w:t>
      </w:r>
    </w:p>
    <w:p w:rsidR="006644B5" w:rsidRDefault="00D71AAB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6644B5">
        <w:rPr>
          <w:rFonts w:ascii="Arial" w:hAnsi="Arial" w:cs="Arial"/>
          <w:b/>
          <w:bCs/>
          <w:sz w:val="16"/>
          <w:szCs w:val="16"/>
        </w:rPr>
        <w:t xml:space="preserve">Табл. 5.8. </w:t>
      </w:r>
      <w:proofErr w:type="gramStart"/>
      <w:r w:rsidRPr="006644B5">
        <w:rPr>
          <w:rFonts w:ascii="Arial" w:hAnsi="Arial" w:cs="Arial"/>
          <w:b/>
          <w:bCs/>
          <w:sz w:val="16"/>
          <w:szCs w:val="16"/>
        </w:rPr>
        <w:t>Средняя фактическая стоимость строительства одного квадратного метра общей площади жилых помещений во введенных в эксплуатацию жилых зданиях</w:t>
      </w:r>
      <w:r w:rsidRPr="006644B5">
        <w:rPr>
          <w:rFonts w:ascii="Arial" w:hAnsi="Arial" w:cs="Arial"/>
          <w:sz w:val="16"/>
          <w:szCs w:val="16"/>
        </w:rPr>
        <w:t xml:space="preserve"> определяется как сумма фактически произведенных застройщиками капитальных затрат, приходящихся на один квадратный метр общей площади всех законченных строительством за год жилых помещений во введенных в эксплуатацию жилых зданиях (без пристроек, надстроек  и встроенных помещений и без жилых помещений, в построенных индивидуальными застройщиками жилых</w:t>
      </w:r>
      <w:proofErr w:type="gramEnd"/>
      <w:r w:rsidRPr="006644B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6644B5">
        <w:rPr>
          <w:rFonts w:ascii="Arial" w:hAnsi="Arial" w:cs="Arial"/>
          <w:sz w:val="16"/>
          <w:szCs w:val="16"/>
        </w:rPr>
        <w:t>домах</w:t>
      </w:r>
      <w:proofErr w:type="gramEnd"/>
      <w:r w:rsidRPr="006644B5">
        <w:rPr>
          <w:rFonts w:ascii="Arial" w:hAnsi="Arial" w:cs="Arial"/>
          <w:sz w:val="16"/>
          <w:szCs w:val="16"/>
        </w:rPr>
        <w:t>), независимо от даты начала строительства и степени комфортности, этажности, включая дома, строительство которых осуществлялось с нарушением нормативных</w:t>
      </w:r>
      <w:r>
        <w:rPr>
          <w:rFonts w:ascii="Arial" w:hAnsi="Arial" w:cs="Arial"/>
          <w:sz w:val="16"/>
          <w:szCs w:val="16"/>
        </w:rPr>
        <w:t xml:space="preserve"> сроков.</w:t>
      </w:r>
    </w:p>
    <w:p w:rsidR="006D3002" w:rsidRPr="006644B5" w:rsidRDefault="006D3002" w:rsidP="006D3002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6644B5">
        <w:rPr>
          <w:rFonts w:ascii="Arial" w:hAnsi="Arial" w:cs="Arial"/>
          <w:b/>
          <w:bCs/>
          <w:sz w:val="16"/>
          <w:szCs w:val="16"/>
        </w:rPr>
        <w:t>Табл. 5.9. Жилищный фонд –</w:t>
      </w:r>
      <w:r w:rsidRPr="006644B5">
        <w:rPr>
          <w:rFonts w:ascii="Arial" w:hAnsi="Arial" w:cs="Arial"/>
          <w:sz w:val="16"/>
          <w:szCs w:val="16"/>
        </w:rPr>
        <w:t xml:space="preserve"> совокупность всех жилых помещений,</w:t>
      </w:r>
      <w:r>
        <w:rPr>
          <w:rFonts w:ascii="Arial" w:hAnsi="Arial" w:cs="Arial"/>
          <w:sz w:val="16"/>
          <w:szCs w:val="16"/>
        </w:rPr>
        <w:t xml:space="preserve"> </w:t>
      </w:r>
      <w:r w:rsidRPr="006644B5">
        <w:rPr>
          <w:rFonts w:ascii="Arial" w:hAnsi="Arial" w:cs="Arial"/>
          <w:sz w:val="16"/>
          <w:szCs w:val="16"/>
        </w:rPr>
        <w:t>находящихся  на т</w:t>
      </w:r>
      <w:r>
        <w:rPr>
          <w:rFonts w:ascii="Arial" w:hAnsi="Arial" w:cs="Arial"/>
          <w:sz w:val="16"/>
          <w:szCs w:val="16"/>
        </w:rPr>
        <w:t>ерритории Российской Федерации.</w:t>
      </w:r>
    </w:p>
    <w:p w:rsidR="00EF7FA4" w:rsidRDefault="000C16C7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6644B5">
        <w:rPr>
          <w:rFonts w:ascii="Arial" w:hAnsi="Arial" w:cs="Arial"/>
          <w:sz w:val="16"/>
          <w:szCs w:val="16"/>
        </w:rPr>
        <w:t>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</w:t>
      </w:r>
      <w:r>
        <w:rPr>
          <w:rFonts w:ascii="Arial" w:hAnsi="Arial" w:cs="Arial"/>
          <w:sz w:val="16"/>
          <w:szCs w:val="16"/>
        </w:rPr>
        <w:t xml:space="preserve"> </w:t>
      </w:r>
      <w:r w:rsidRPr="006644B5">
        <w:rPr>
          <w:rFonts w:ascii="Arial" w:hAnsi="Arial" w:cs="Arial"/>
          <w:sz w:val="16"/>
          <w:szCs w:val="16"/>
        </w:rPr>
        <w:t>и нормам, иным требованиям законодательства).</w:t>
      </w:r>
    </w:p>
    <w:p w:rsidR="006D3002" w:rsidRDefault="00FC7409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proofErr w:type="gramStart"/>
      <w:r w:rsidRPr="006644B5">
        <w:rPr>
          <w:rFonts w:ascii="Arial" w:hAnsi="Arial" w:cs="Arial"/>
          <w:sz w:val="16"/>
          <w:szCs w:val="16"/>
        </w:rPr>
        <w:lastRenderedPageBreak/>
        <w:t>В составе жилищного фонда не учитываются дачи, летние садовые домики, спортивные  и туристские базы, мотели, кемпинги, санатории, дома отдыха, пансионаты, дома для приезжих, гостиницы, казармы, кельи, железнодорожные</w:t>
      </w:r>
      <w:r>
        <w:rPr>
          <w:rFonts w:ascii="Arial" w:hAnsi="Arial" w:cs="Arial"/>
          <w:sz w:val="16"/>
          <w:szCs w:val="16"/>
        </w:rPr>
        <w:t xml:space="preserve"> </w:t>
      </w:r>
      <w:r w:rsidRPr="006644B5">
        <w:rPr>
          <w:rFonts w:ascii="Arial" w:hAnsi="Arial" w:cs="Arial"/>
          <w:sz w:val="16"/>
          <w:szCs w:val="16"/>
        </w:rPr>
        <w:t>вагончики и другие строения.</w:t>
      </w:r>
      <w:proofErr w:type="gramEnd"/>
    </w:p>
    <w:p w:rsidR="007A730D" w:rsidRPr="006644B5" w:rsidRDefault="007A730D" w:rsidP="007A730D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6644B5">
        <w:rPr>
          <w:rFonts w:ascii="Arial" w:hAnsi="Arial" w:cs="Arial"/>
          <w:sz w:val="16"/>
          <w:szCs w:val="16"/>
        </w:rPr>
        <w:t xml:space="preserve">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</w:t>
      </w:r>
      <w:r>
        <w:rPr>
          <w:rFonts w:ascii="Arial" w:hAnsi="Arial" w:cs="Arial"/>
          <w:sz w:val="16"/>
          <w:szCs w:val="16"/>
        </w:rPr>
        <w:br/>
      </w:r>
      <w:r w:rsidRPr="006644B5">
        <w:rPr>
          <w:rFonts w:ascii="Arial" w:hAnsi="Arial" w:cs="Arial"/>
          <w:sz w:val="16"/>
          <w:szCs w:val="16"/>
        </w:rPr>
        <w:t>с их проживанием в жилом помещении,</w:t>
      </w:r>
      <w:r>
        <w:rPr>
          <w:rFonts w:ascii="Arial" w:hAnsi="Arial" w:cs="Arial"/>
          <w:sz w:val="16"/>
          <w:szCs w:val="16"/>
        </w:rPr>
        <w:t xml:space="preserve"> </w:t>
      </w:r>
      <w:r w:rsidRPr="006644B5">
        <w:rPr>
          <w:rFonts w:ascii="Arial" w:hAnsi="Arial" w:cs="Arial"/>
          <w:sz w:val="16"/>
          <w:szCs w:val="16"/>
        </w:rPr>
        <w:t xml:space="preserve">за исключением балконов, лоджий, веранд </w:t>
      </w:r>
      <w:r>
        <w:rPr>
          <w:rFonts w:ascii="Arial" w:hAnsi="Arial" w:cs="Arial"/>
          <w:sz w:val="16"/>
          <w:szCs w:val="16"/>
        </w:rPr>
        <w:br/>
      </w:r>
      <w:r w:rsidRPr="006644B5">
        <w:rPr>
          <w:rFonts w:ascii="Arial" w:hAnsi="Arial" w:cs="Arial"/>
          <w:sz w:val="16"/>
          <w:szCs w:val="16"/>
        </w:rPr>
        <w:t>и террас.</w:t>
      </w:r>
    </w:p>
    <w:p w:rsidR="006D3002" w:rsidRDefault="008313CB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 табл. 5.11, 5.13, 5.14, 5.15</w:t>
      </w:r>
      <w:r w:rsidRPr="006644B5">
        <w:rPr>
          <w:rFonts w:ascii="Arial" w:hAnsi="Arial" w:cs="Arial"/>
          <w:b/>
          <w:bCs/>
          <w:sz w:val="16"/>
          <w:szCs w:val="16"/>
        </w:rPr>
        <w:t xml:space="preserve">, 5.16., 5.17. </w:t>
      </w:r>
      <w:r w:rsidRPr="006644B5">
        <w:rPr>
          <w:rFonts w:ascii="Arial" w:hAnsi="Arial" w:cs="Arial"/>
          <w:sz w:val="16"/>
          <w:szCs w:val="16"/>
        </w:rPr>
        <w:t>приводятся данные о вводе</w:t>
      </w:r>
      <w:r>
        <w:rPr>
          <w:rFonts w:ascii="Arial" w:hAnsi="Arial" w:cs="Arial"/>
          <w:sz w:val="16"/>
          <w:szCs w:val="16"/>
        </w:rPr>
        <w:t xml:space="preserve"> </w:t>
      </w:r>
      <w:r w:rsidRPr="006644B5">
        <w:rPr>
          <w:rFonts w:ascii="Arial" w:hAnsi="Arial" w:cs="Arial"/>
          <w:sz w:val="16"/>
          <w:szCs w:val="16"/>
        </w:rPr>
        <w:t>в действие мощностей  и объектов за счет строительства и реконструкции.</w:t>
      </w:r>
    </w:p>
    <w:p w:rsidR="006D3002" w:rsidRDefault="00756A68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6644B5">
        <w:rPr>
          <w:rFonts w:ascii="Arial" w:hAnsi="Arial" w:cs="Arial"/>
          <w:b/>
          <w:bCs/>
          <w:sz w:val="16"/>
          <w:szCs w:val="16"/>
        </w:rPr>
        <w:t xml:space="preserve">Ввод в действие мощностей и объектов социально-культурного назначения – </w:t>
      </w:r>
      <w:r w:rsidRPr="006644B5">
        <w:rPr>
          <w:rFonts w:ascii="Arial" w:hAnsi="Arial" w:cs="Arial"/>
          <w:sz w:val="16"/>
          <w:szCs w:val="16"/>
        </w:rPr>
        <w:t xml:space="preserve">показатель мощности (вместимости, пропускной способности, площади  и так далее), созданной в результате осуществления инвестиций в основной капитал. Ввод </w:t>
      </w:r>
      <w:r>
        <w:rPr>
          <w:rFonts w:ascii="Arial" w:hAnsi="Arial" w:cs="Arial"/>
          <w:sz w:val="16"/>
          <w:szCs w:val="16"/>
        </w:rPr>
        <w:br/>
      </w:r>
      <w:r w:rsidRPr="006644B5">
        <w:rPr>
          <w:rFonts w:ascii="Arial" w:hAnsi="Arial" w:cs="Arial"/>
          <w:sz w:val="16"/>
          <w:szCs w:val="16"/>
        </w:rPr>
        <w:t xml:space="preserve">в действие отражается в размерах, указанных  в разрешениях на ввод объектов (мощностей) в эксплуатацию, оформленных в установленном порядке в соответствии </w:t>
      </w:r>
      <w:r>
        <w:rPr>
          <w:rFonts w:ascii="Arial" w:hAnsi="Arial" w:cs="Arial"/>
          <w:sz w:val="16"/>
          <w:szCs w:val="16"/>
        </w:rPr>
        <w:br/>
      </w:r>
      <w:r w:rsidRPr="006644B5">
        <w:rPr>
          <w:rFonts w:ascii="Arial" w:hAnsi="Arial" w:cs="Arial"/>
          <w:sz w:val="16"/>
          <w:szCs w:val="16"/>
        </w:rPr>
        <w:t>с действующим законодательством</w:t>
      </w:r>
      <w:r>
        <w:rPr>
          <w:rFonts w:ascii="Arial" w:hAnsi="Arial" w:cs="Arial"/>
          <w:sz w:val="16"/>
          <w:szCs w:val="16"/>
        </w:rPr>
        <w:t xml:space="preserve"> </w:t>
      </w:r>
      <w:r w:rsidRPr="006644B5">
        <w:rPr>
          <w:rFonts w:ascii="Arial" w:hAnsi="Arial" w:cs="Arial"/>
          <w:sz w:val="16"/>
          <w:szCs w:val="16"/>
        </w:rPr>
        <w:t>Российской Федерации  о градостроительной деятельности.</w:t>
      </w:r>
    </w:p>
    <w:p w:rsidR="006D3002" w:rsidRDefault="00156C2F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6644B5">
        <w:rPr>
          <w:rFonts w:ascii="Arial" w:hAnsi="Arial" w:cs="Arial"/>
          <w:b/>
          <w:bCs/>
          <w:sz w:val="16"/>
          <w:szCs w:val="16"/>
        </w:rPr>
        <w:t xml:space="preserve">Табл. 5.12. Централизованная система водоснабжения </w:t>
      </w:r>
      <w:r w:rsidRPr="006644B5">
        <w:rPr>
          <w:rFonts w:ascii="Arial" w:hAnsi="Arial" w:cs="Arial"/>
          <w:sz w:val="16"/>
          <w:szCs w:val="16"/>
        </w:rPr>
        <w:t>–  комплекс инженерных сооружений населенных пунктов, предназначенный для забора,</w:t>
      </w:r>
      <w:r>
        <w:rPr>
          <w:rFonts w:ascii="Arial" w:hAnsi="Arial" w:cs="Arial"/>
          <w:sz w:val="16"/>
          <w:szCs w:val="16"/>
        </w:rPr>
        <w:t xml:space="preserve"> </w:t>
      </w:r>
      <w:r w:rsidRPr="006644B5">
        <w:rPr>
          <w:rFonts w:ascii="Arial" w:hAnsi="Arial" w:cs="Arial"/>
          <w:sz w:val="16"/>
          <w:szCs w:val="16"/>
        </w:rPr>
        <w:t>подготовки, транспортировки и передачи абонентам питьевой воды.</w:t>
      </w:r>
    </w:p>
    <w:p w:rsidR="006644B5" w:rsidRPr="00E13EF0" w:rsidRDefault="000C4731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6644B5">
        <w:rPr>
          <w:rFonts w:ascii="Arial" w:hAnsi="Arial" w:cs="Arial"/>
          <w:b/>
          <w:bCs/>
          <w:sz w:val="16"/>
          <w:szCs w:val="16"/>
        </w:rPr>
        <w:t xml:space="preserve">Централизованная система водоотведения (канализации) </w:t>
      </w:r>
      <w:r w:rsidRPr="006644B5">
        <w:rPr>
          <w:rFonts w:ascii="Arial" w:hAnsi="Arial" w:cs="Arial"/>
          <w:sz w:val="16"/>
          <w:szCs w:val="16"/>
        </w:rPr>
        <w:t>– комплекс инженерных сооружений населенных пунктов для сбора, очистки и отведения</w:t>
      </w:r>
      <w:r>
        <w:rPr>
          <w:rFonts w:ascii="Arial" w:hAnsi="Arial" w:cs="Arial"/>
          <w:sz w:val="16"/>
          <w:szCs w:val="16"/>
        </w:rPr>
        <w:t xml:space="preserve"> </w:t>
      </w:r>
      <w:r w:rsidRPr="006644B5">
        <w:rPr>
          <w:rFonts w:ascii="Arial" w:hAnsi="Arial" w:cs="Arial"/>
          <w:sz w:val="16"/>
          <w:szCs w:val="16"/>
        </w:rPr>
        <w:t>сточных вод в водные объекты  и обработки осадков сточных вод.</w:t>
      </w:r>
      <w:bookmarkStart w:id="0" w:name="_GoBack"/>
      <w:bookmarkEnd w:id="0"/>
    </w:p>
    <w:sectPr w:rsidR="006644B5" w:rsidRPr="00E13EF0" w:rsidSect="00DA2C55">
      <w:footerReference w:type="default" r:id="rId8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84" w:rsidRDefault="00E06C84">
      <w:r>
        <w:separator/>
      </w:r>
    </w:p>
  </w:endnote>
  <w:endnote w:type="continuationSeparator" w:id="0">
    <w:p w:rsidR="00E06C84" w:rsidRDefault="00E0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84" w:rsidRDefault="00E06C84">
      <w:r>
        <w:separator/>
      </w:r>
    </w:p>
  </w:footnote>
  <w:footnote w:type="continuationSeparator" w:id="0">
    <w:p w:rsidR="00E06C84" w:rsidRDefault="00E0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61D14"/>
    <w:rsid w:val="00065852"/>
    <w:rsid w:val="00090BDD"/>
    <w:rsid w:val="000A0EA5"/>
    <w:rsid w:val="000C16C7"/>
    <w:rsid w:val="000C4731"/>
    <w:rsid w:val="000F4DA3"/>
    <w:rsid w:val="0012591A"/>
    <w:rsid w:val="00137566"/>
    <w:rsid w:val="00151698"/>
    <w:rsid w:val="00156C2F"/>
    <w:rsid w:val="001572EB"/>
    <w:rsid w:val="00206DA7"/>
    <w:rsid w:val="00213BA7"/>
    <w:rsid w:val="002475B5"/>
    <w:rsid w:val="0025287C"/>
    <w:rsid w:val="002A3239"/>
    <w:rsid w:val="002B676C"/>
    <w:rsid w:val="002E1B7A"/>
    <w:rsid w:val="002F20AE"/>
    <w:rsid w:val="0032686F"/>
    <w:rsid w:val="003422C3"/>
    <w:rsid w:val="00346F38"/>
    <w:rsid w:val="00353F24"/>
    <w:rsid w:val="0035754C"/>
    <w:rsid w:val="00365E1A"/>
    <w:rsid w:val="003A3051"/>
    <w:rsid w:val="003C076F"/>
    <w:rsid w:val="003D36CE"/>
    <w:rsid w:val="003F21B1"/>
    <w:rsid w:val="003F4069"/>
    <w:rsid w:val="003F50CC"/>
    <w:rsid w:val="00411BD1"/>
    <w:rsid w:val="00425B1D"/>
    <w:rsid w:val="004411C9"/>
    <w:rsid w:val="0046177F"/>
    <w:rsid w:val="0047384C"/>
    <w:rsid w:val="0048771D"/>
    <w:rsid w:val="004C77FB"/>
    <w:rsid w:val="004E5567"/>
    <w:rsid w:val="004F3E45"/>
    <w:rsid w:val="005042A9"/>
    <w:rsid w:val="005130DB"/>
    <w:rsid w:val="00546639"/>
    <w:rsid w:val="0056072F"/>
    <w:rsid w:val="00594B0B"/>
    <w:rsid w:val="005C42D1"/>
    <w:rsid w:val="005C67A2"/>
    <w:rsid w:val="005C6B5A"/>
    <w:rsid w:val="005D609B"/>
    <w:rsid w:val="005E00EA"/>
    <w:rsid w:val="005F6C3F"/>
    <w:rsid w:val="006007F9"/>
    <w:rsid w:val="00610EC4"/>
    <w:rsid w:val="00633144"/>
    <w:rsid w:val="0064096B"/>
    <w:rsid w:val="00661AB2"/>
    <w:rsid w:val="006644B5"/>
    <w:rsid w:val="006711FF"/>
    <w:rsid w:val="00694351"/>
    <w:rsid w:val="006B784C"/>
    <w:rsid w:val="006D3002"/>
    <w:rsid w:val="007465E4"/>
    <w:rsid w:val="00756A68"/>
    <w:rsid w:val="007A6F14"/>
    <w:rsid w:val="007A730D"/>
    <w:rsid w:val="007D31FC"/>
    <w:rsid w:val="007E1406"/>
    <w:rsid w:val="007E2C99"/>
    <w:rsid w:val="00827F94"/>
    <w:rsid w:val="008313CB"/>
    <w:rsid w:val="00847E08"/>
    <w:rsid w:val="008819D9"/>
    <w:rsid w:val="00884066"/>
    <w:rsid w:val="008A3B50"/>
    <w:rsid w:val="008A4575"/>
    <w:rsid w:val="008C04D3"/>
    <w:rsid w:val="0095210A"/>
    <w:rsid w:val="009C2100"/>
    <w:rsid w:val="009D74FD"/>
    <w:rsid w:val="00A04F80"/>
    <w:rsid w:val="00A1498B"/>
    <w:rsid w:val="00A25C33"/>
    <w:rsid w:val="00A3540D"/>
    <w:rsid w:val="00AA625D"/>
    <w:rsid w:val="00AC1B90"/>
    <w:rsid w:val="00AE0156"/>
    <w:rsid w:val="00AE0912"/>
    <w:rsid w:val="00AE155C"/>
    <w:rsid w:val="00AF0EE6"/>
    <w:rsid w:val="00AF47C7"/>
    <w:rsid w:val="00B1107A"/>
    <w:rsid w:val="00B87DAF"/>
    <w:rsid w:val="00BA581F"/>
    <w:rsid w:val="00BA7334"/>
    <w:rsid w:val="00BB6A22"/>
    <w:rsid w:val="00BC4652"/>
    <w:rsid w:val="00BF22C6"/>
    <w:rsid w:val="00C03BF4"/>
    <w:rsid w:val="00D71AAB"/>
    <w:rsid w:val="00DA2C55"/>
    <w:rsid w:val="00DC680B"/>
    <w:rsid w:val="00E06C84"/>
    <w:rsid w:val="00E13EF0"/>
    <w:rsid w:val="00E15454"/>
    <w:rsid w:val="00E32DB3"/>
    <w:rsid w:val="00E443AE"/>
    <w:rsid w:val="00E506AD"/>
    <w:rsid w:val="00E73190"/>
    <w:rsid w:val="00E7326C"/>
    <w:rsid w:val="00E81E69"/>
    <w:rsid w:val="00ED3ADF"/>
    <w:rsid w:val="00ED4437"/>
    <w:rsid w:val="00EE50FF"/>
    <w:rsid w:val="00EF7FA4"/>
    <w:rsid w:val="00F25259"/>
    <w:rsid w:val="00F323F4"/>
    <w:rsid w:val="00F47899"/>
    <w:rsid w:val="00F82FA9"/>
    <w:rsid w:val="00FB351E"/>
    <w:rsid w:val="00FC7409"/>
    <w:rsid w:val="00FE709F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161C-F39A-4466-80B6-F23ED5BF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2022-11-23T15:06:00Z</cp:lastPrinted>
  <dcterms:created xsi:type="dcterms:W3CDTF">2022-02-11T10:05:00Z</dcterms:created>
  <dcterms:modified xsi:type="dcterms:W3CDTF">2024-09-01T06:14:00Z</dcterms:modified>
</cp:coreProperties>
</file>