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A15682" w:rsidRDefault="00A15682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A15682">
        <w:rPr>
          <w:rFonts w:ascii="Arial" w:hAnsi="Arial" w:cs="Arial"/>
          <w:b/>
          <w:bCs/>
          <w:sz w:val="16"/>
          <w:szCs w:val="16"/>
        </w:rPr>
        <w:t xml:space="preserve">Табл. 9.1 – 9.2. </w:t>
      </w:r>
      <w:proofErr w:type="gramStart"/>
      <w:r w:rsidRPr="00A15682">
        <w:rPr>
          <w:rFonts w:ascii="Arial" w:hAnsi="Arial" w:cs="Arial"/>
          <w:sz w:val="16"/>
          <w:szCs w:val="16"/>
        </w:rPr>
        <w:t xml:space="preserve">В международной практике исчисляется показатель </w:t>
      </w:r>
      <w:r w:rsidRPr="00A15682">
        <w:rPr>
          <w:rFonts w:ascii="Arial" w:hAnsi="Arial" w:cs="Arial"/>
          <w:b/>
          <w:bCs/>
          <w:sz w:val="16"/>
          <w:szCs w:val="16"/>
        </w:rPr>
        <w:t xml:space="preserve">«валовое накопление основного капитала», </w:t>
      </w:r>
      <w:r w:rsidRPr="00A15682">
        <w:rPr>
          <w:rFonts w:ascii="Arial" w:hAnsi="Arial" w:cs="Arial"/>
          <w:sz w:val="16"/>
          <w:szCs w:val="16"/>
        </w:rPr>
        <w:t xml:space="preserve">который близок по своему содержанию </w:t>
      </w:r>
      <w:r>
        <w:rPr>
          <w:rFonts w:ascii="Arial" w:hAnsi="Arial" w:cs="Arial"/>
          <w:sz w:val="16"/>
          <w:szCs w:val="16"/>
        </w:rPr>
        <w:br/>
      </w:r>
      <w:r w:rsidRPr="00A15682">
        <w:rPr>
          <w:rFonts w:ascii="Arial" w:hAnsi="Arial" w:cs="Arial"/>
          <w:sz w:val="16"/>
          <w:szCs w:val="16"/>
        </w:rPr>
        <w:t>к показателю «инвестиции в основной капитал» и охватывает затраты на приобретение и коренное улучшение произведенного материального основного капитала (зданий, сооружений, машин и оборудования, скота, многолетних насаждений), произведенного нематериального основного капитала (программного обеспечения ЭВМ, геологоразведочных работ</w:t>
      </w:r>
      <w:r>
        <w:rPr>
          <w:rFonts w:ascii="Arial" w:hAnsi="Arial" w:cs="Arial"/>
          <w:sz w:val="16"/>
          <w:szCs w:val="16"/>
        </w:rPr>
        <w:t xml:space="preserve"> </w:t>
      </w:r>
      <w:r w:rsidRPr="00A15682">
        <w:rPr>
          <w:rFonts w:ascii="Arial" w:hAnsi="Arial" w:cs="Arial"/>
          <w:sz w:val="16"/>
          <w:szCs w:val="16"/>
        </w:rPr>
        <w:t>и другого), а также затраты на улучшение земли.</w:t>
      </w:r>
      <w:proofErr w:type="gramEnd"/>
    </w:p>
    <w:p w:rsidR="00A15682" w:rsidRDefault="00A15682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A15682">
        <w:rPr>
          <w:rFonts w:ascii="Arial" w:hAnsi="Arial" w:cs="Arial"/>
          <w:b/>
          <w:bCs/>
          <w:sz w:val="16"/>
          <w:szCs w:val="16"/>
        </w:rPr>
        <w:t>Табл. 9.3.</w:t>
      </w:r>
      <w:r w:rsidRPr="00A15682">
        <w:rPr>
          <w:rFonts w:ascii="Arial" w:hAnsi="Arial" w:cs="Arial"/>
          <w:sz w:val="16"/>
          <w:szCs w:val="16"/>
        </w:rPr>
        <w:t xml:space="preserve"> При исчислении</w:t>
      </w:r>
      <w:r w:rsidRPr="00A15682">
        <w:rPr>
          <w:rFonts w:ascii="Arial" w:hAnsi="Arial" w:cs="Arial"/>
          <w:b/>
          <w:bCs/>
          <w:sz w:val="16"/>
          <w:szCs w:val="16"/>
        </w:rPr>
        <w:t xml:space="preserve"> общей площади жилищ у</w:t>
      </w:r>
      <w:r w:rsidRPr="00A15682">
        <w:rPr>
          <w:rFonts w:ascii="Arial" w:hAnsi="Arial" w:cs="Arial"/>
          <w:sz w:val="16"/>
          <w:szCs w:val="16"/>
        </w:rPr>
        <w:t xml:space="preserve">читывается площадь </w:t>
      </w:r>
      <w:r>
        <w:rPr>
          <w:rFonts w:ascii="Arial" w:hAnsi="Arial" w:cs="Arial"/>
          <w:sz w:val="16"/>
          <w:szCs w:val="16"/>
        </w:rPr>
        <w:br/>
      </w:r>
      <w:r w:rsidRPr="00A15682">
        <w:rPr>
          <w:rFonts w:ascii="Arial" w:hAnsi="Arial" w:cs="Arial"/>
          <w:sz w:val="16"/>
          <w:szCs w:val="16"/>
        </w:rPr>
        <w:t xml:space="preserve">по внутреннему периметру жилых комнат, вспомогательных помещений внутри квартир (кухонь, коридоров, санитарных узлов, встроенных шкафов и тому подобное), площадь закрытых летних помещений (лоджий, </w:t>
      </w:r>
      <w:proofErr w:type="spellStart"/>
      <w:r w:rsidRPr="00A15682">
        <w:rPr>
          <w:rFonts w:ascii="Arial" w:hAnsi="Arial" w:cs="Arial"/>
          <w:sz w:val="16"/>
          <w:szCs w:val="16"/>
        </w:rPr>
        <w:t>балконов</w:t>
      </w:r>
      <w:proofErr w:type="gramStart"/>
      <w:r w:rsidRPr="00A15682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и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A15682">
        <w:rPr>
          <w:rFonts w:ascii="Arial" w:hAnsi="Arial" w:cs="Arial"/>
          <w:sz w:val="16"/>
          <w:szCs w:val="16"/>
        </w:rPr>
        <w:t>террас) в жилых домах.</w:t>
      </w:r>
    </w:p>
    <w:p w:rsidR="00A15682" w:rsidRDefault="00A15682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A15682">
        <w:rPr>
          <w:rFonts w:ascii="Arial" w:hAnsi="Arial" w:cs="Arial"/>
          <w:sz w:val="16"/>
          <w:szCs w:val="16"/>
        </w:rPr>
        <w:t xml:space="preserve">При исчислении показателя </w:t>
      </w:r>
      <w:r w:rsidRPr="00A15682">
        <w:rPr>
          <w:rFonts w:ascii="Arial" w:hAnsi="Arial" w:cs="Arial"/>
          <w:b/>
          <w:bCs/>
          <w:sz w:val="16"/>
          <w:szCs w:val="16"/>
        </w:rPr>
        <w:t>«число построенных квартир»</w:t>
      </w:r>
      <w:r w:rsidRPr="00A15682">
        <w:rPr>
          <w:rFonts w:ascii="Arial" w:hAnsi="Arial" w:cs="Arial"/>
          <w:sz w:val="16"/>
          <w:szCs w:val="16"/>
        </w:rPr>
        <w:t xml:space="preserve"> понятие «квартира» определяется как комната или ряд комнат (дом) с удобствами в здании постоянного типа, предназначенном для жилья. Квартира должна иметь отдельный выход на улицу или на общее пространство внутри здания</w:t>
      </w:r>
      <w:r>
        <w:rPr>
          <w:rFonts w:ascii="Arial" w:hAnsi="Arial" w:cs="Arial"/>
          <w:sz w:val="16"/>
          <w:szCs w:val="16"/>
        </w:rPr>
        <w:t xml:space="preserve"> </w:t>
      </w:r>
      <w:r w:rsidRPr="00A15682">
        <w:rPr>
          <w:rFonts w:ascii="Arial" w:hAnsi="Arial" w:cs="Arial"/>
          <w:sz w:val="16"/>
          <w:szCs w:val="16"/>
        </w:rPr>
        <w:t>(лестница, коридор и тому подобное).</w:t>
      </w:r>
    </w:p>
    <w:p w:rsidR="00A15682" w:rsidRDefault="00FB7B76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 9.4</w:t>
      </w:r>
      <w:bookmarkStart w:id="0" w:name="_GoBack"/>
      <w:bookmarkEnd w:id="0"/>
      <w:r w:rsidR="00653DAB" w:rsidRPr="00A15682">
        <w:rPr>
          <w:rFonts w:ascii="Arial" w:hAnsi="Arial" w:cs="Arial"/>
          <w:b/>
          <w:bCs/>
          <w:sz w:val="16"/>
          <w:szCs w:val="16"/>
        </w:rPr>
        <w:t xml:space="preserve"> – 9.6. Паритет покупательной способности (ППС) </w:t>
      </w:r>
      <w:r w:rsidR="00653DAB" w:rsidRPr="00A15682">
        <w:rPr>
          <w:rFonts w:ascii="Arial" w:hAnsi="Arial" w:cs="Arial"/>
          <w:sz w:val="16"/>
          <w:szCs w:val="16"/>
        </w:rPr>
        <w:t xml:space="preserve">является показателем проведения международных сопоставлений валового внутреннего продукта, и представляет собой соотношение цен на уровне товаров, групп продуктов, агрегатов и ВВП в целом. Показывает сколько денежных единиц нужно потратить для покупки одинакового количества товаров и услуг в странах. Используемая методология расчетов позволяет получать результаты сопоставлений, независимые от выбора счетной единицы (денежной единицы) и базовой страны. В качестве счетной единицы могут использоваться условные единицы, например, стандарт покупательной силы </w:t>
      </w:r>
      <w:r w:rsidR="0036602C">
        <w:rPr>
          <w:rFonts w:ascii="Arial" w:hAnsi="Arial" w:cs="Arial"/>
          <w:sz w:val="16"/>
          <w:szCs w:val="16"/>
        </w:rPr>
        <w:br/>
      </w:r>
      <w:r w:rsidR="00653DAB" w:rsidRPr="00A15682">
        <w:rPr>
          <w:rFonts w:ascii="Arial" w:hAnsi="Arial" w:cs="Arial"/>
          <w:sz w:val="16"/>
          <w:szCs w:val="16"/>
        </w:rPr>
        <w:t xml:space="preserve">в Европейском союзе, условный доллар – в Организации экономического сотрудничества и развития (ОЭСР), или денежные единицы стран, участвующих в сопоставлениях, например – доллар США, евро, российский рубль, тенге и так далее; </w:t>
      </w:r>
      <w:r w:rsidR="00653DAB" w:rsidRPr="00A15682">
        <w:rPr>
          <w:rFonts w:ascii="Arial" w:hAnsi="Arial" w:cs="Arial"/>
          <w:b/>
          <w:bCs/>
          <w:sz w:val="16"/>
          <w:szCs w:val="16"/>
        </w:rPr>
        <w:t xml:space="preserve">индексы физического объема ВВП и физического объема ВВП на душу населения </w:t>
      </w:r>
      <w:r w:rsidR="00653DAB" w:rsidRPr="00A15682">
        <w:rPr>
          <w:rFonts w:ascii="Arial" w:hAnsi="Arial" w:cs="Arial"/>
          <w:sz w:val="16"/>
          <w:szCs w:val="16"/>
        </w:rPr>
        <w:t xml:space="preserve">– представляют собой соответственно отношение ВВП и отношение ВВП </w:t>
      </w:r>
      <w:r w:rsidR="0036602C">
        <w:rPr>
          <w:rFonts w:ascii="Arial" w:hAnsi="Arial" w:cs="Arial"/>
          <w:sz w:val="16"/>
          <w:szCs w:val="16"/>
        </w:rPr>
        <w:br/>
      </w:r>
      <w:r w:rsidR="00653DAB" w:rsidRPr="00A15682">
        <w:rPr>
          <w:rFonts w:ascii="Arial" w:hAnsi="Arial" w:cs="Arial"/>
          <w:sz w:val="16"/>
          <w:szCs w:val="16"/>
        </w:rPr>
        <w:t>на душу населения сопоставляемой страны к ВВП и к ВВП на душу населения базовой страны (группы стран). Стоимостные показатели в национальной валюте пересчитываются с помощью паритетов покупательной способности в реальные величины;</w:t>
      </w:r>
      <w:r w:rsidR="00653DAB" w:rsidRPr="00A15682">
        <w:rPr>
          <w:rFonts w:ascii="Arial" w:hAnsi="Arial" w:cs="Arial"/>
          <w:b/>
          <w:bCs/>
          <w:sz w:val="16"/>
          <w:szCs w:val="16"/>
        </w:rPr>
        <w:t xml:space="preserve"> сопоставимый уровень цен </w:t>
      </w:r>
      <w:r w:rsidR="00653DAB" w:rsidRPr="00A15682">
        <w:rPr>
          <w:rFonts w:ascii="Arial" w:hAnsi="Arial" w:cs="Arial"/>
          <w:sz w:val="16"/>
          <w:szCs w:val="16"/>
        </w:rPr>
        <w:t xml:space="preserve">– представляет собой отношение ППС </w:t>
      </w:r>
      <w:r w:rsidR="0036602C">
        <w:rPr>
          <w:rFonts w:ascii="Arial" w:hAnsi="Arial" w:cs="Arial"/>
          <w:sz w:val="16"/>
          <w:szCs w:val="16"/>
        </w:rPr>
        <w:br/>
      </w:r>
      <w:r w:rsidR="00653DAB" w:rsidRPr="00A15682">
        <w:rPr>
          <w:rFonts w:ascii="Arial" w:hAnsi="Arial" w:cs="Arial"/>
          <w:sz w:val="16"/>
          <w:szCs w:val="16"/>
        </w:rPr>
        <w:t>к валютному курсу. Этот показатель измеряет различия в уровнях цен между странами по каждому компоненту расходов конечного использования ВВП, с учетом национальной системы ценообразования и налогообложения. Если сопоставимый уровень цен равен 100, то это значит, что ППС равен валютному курсу. Чем выше значение показателя, тем выше национальный уровень цен. Определенное влияние</w:t>
      </w:r>
      <w:r w:rsidR="00653DAB">
        <w:rPr>
          <w:rFonts w:ascii="Arial" w:hAnsi="Arial" w:cs="Arial"/>
          <w:sz w:val="16"/>
          <w:szCs w:val="16"/>
        </w:rPr>
        <w:t xml:space="preserve"> </w:t>
      </w:r>
      <w:r w:rsidR="00653DAB" w:rsidRPr="00A15682">
        <w:rPr>
          <w:rFonts w:ascii="Arial" w:hAnsi="Arial" w:cs="Arial"/>
          <w:sz w:val="16"/>
          <w:szCs w:val="16"/>
        </w:rPr>
        <w:t>на этот показатель оказывает изменение валютного курса.</w:t>
      </w:r>
    </w:p>
    <w:p w:rsidR="00A15682" w:rsidRDefault="00FB7B76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 9.7</w:t>
      </w:r>
      <w:r w:rsidRPr="00A15682">
        <w:rPr>
          <w:rFonts w:ascii="Arial" w:hAnsi="Arial" w:cs="Arial"/>
          <w:b/>
          <w:bCs/>
          <w:sz w:val="16"/>
          <w:szCs w:val="16"/>
        </w:rPr>
        <w:t xml:space="preserve">, 9.14. </w:t>
      </w:r>
      <w:proofErr w:type="gramStart"/>
      <w:r w:rsidRPr="00A15682">
        <w:rPr>
          <w:rFonts w:ascii="Arial" w:hAnsi="Arial" w:cs="Arial"/>
          <w:sz w:val="16"/>
          <w:szCs w:val="16"/>
        </w:rPr>
        <w:t xml:space="preserve">К категории услуг «строительство» относятся работы </w:t>
      </w:r>
      <w:r w:rsidRPr="00A15682">
        <w:rPr>
          <w:rFonts w:ascii="Arial" w:hAnsi="Arial" w:cs="Arial"/>
          <w:sz w:val="16"/>
          <w:szCs w:val="16"/>
        </w:rPr>
        <w:br/>
        <w:t>по сооружению строительных объектов, включая работы, предшествующие строительству (исследование и подготовка строительного участка и так далее), работы по возведению зданий и сооружению объектов гражданского строительства, специальные строительные работы (закладка фундамента, кровельные, бетонные работы и другие), монтаж оборудования, строительные и отделочные работы завершающего цикла, работы по прокладке различных коммуникаций, включая линии связи, а также работы</w:t>
      </w:r>
      <w:proofErr w:type="gramEnd"/>
      <w:r w:rsidRPr="00A15682">
        <w:rPr>
          <w:rFonts w:ascii="Arial" w:hAnsi="Arial" w:cs="Arial"/>
          <w:sz w:val="16"/>
          <w:szCs w:val="16"/>
        </w:rPr>
        <w:t xml:space="preserve"> по ремонту зданий, помещений и сооружений (железнодорожных путей, автомагистралей, конструкций и сооружений в морских портах, аэропортах </w:t>
      </w:r>
      <w:r>
        <w:rPr>
          <w:rFonts w:ascii="Arial" w:hAnsi="Arial" w:cs="Arial"/>
          <w:sz w:val="16"/>
          <w:szCs w:val="16"/>
        </w:rPr>
        <w:br/>
      </w:r>
      <w:r w:rsidRPr="00A15682">
        <w:rPr>
          <w:rFonts w:ascii="Arial" w:hAnsi="Arial" w:cs="Arial"/>
          <w:sz w:val="16"/>
          <w:szCs w:val="16"/>
        </w:rPr>
        <w:t xml:space="preserve">и других). Приобретение товаров и услуг предприятиями, ведущими строительные </w:t>
      </w:r>
      <w:r w:rsidRPr="00A15682">
        <w:rPr>
          <w:rFonts w:ascii="Arial" w:hAnsi="Arial" w:cs="Arial"/>
          <w:sz w:val="16"/>
          <w:szCs w:val="16"/>
        </w:rPr>
        <w:lastRenderedPageBreak/>
        <w:t>работы в стране нахождения строительного объекта (строительной площадки),</w:t>
      </w:r>
      <w:r>
        <w:rPr>
          <w:rFonts w:ascii="Arial" w:hAnsi="Arial" w:cs="Arial"/>
          <w:sz w:val="16"/>
          <w:szCs w:val="16"/>
        </w:rPr>
        <w:t xml:space="preserve"> </w:t>
      </w:r>
      <w:r w:rsidRPr="00A15682">
        <w:rPr>
          <w:rFonts w:ascii="Arial" w:hAnsi="Arial" w:cs="Arial"/>
          <w:sz w:val="16"/>
          <w:szCs w:val="16"/>
        </w:rPr>
        <w:t>также отражается в составе строительства.</w:t>
      </w:r>
    </w:p>
    <w:sectPr w:rsidR="00A15682" w:rsidSect="00DA2C55">
      <w:footerReference w:type="default" r:id="rId8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A9" w:rsidRDefault="00666DA9">
      <w:r>
        <w:separator/>
      </w:r>
    </w:p>
  </w:endnote>
  <w:endnote w:type="continuationSeparator" w:id="0">
    <w:p w:rsidR="00666DA9" w:rsidRDefault="0066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A9" w:rsidRDefault="00666DA9">
      <w:r>
        <w:separator/>
      </w:r>
    </w:p>
  </w:footnote>
  <w:footnote w:type="continuationSeparator" w:id="0">
    <w:p w:rsidR="00666DA9" w:rsidRDefault="0066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5225A"/>
    <w:rsid w:val="00061D14"/>
    <w:rsid w:val="00065852"/>
    <w:rsid w:val="00090BDD"/>
    <w:rsid w:val="000A0EA5"/>
    <w:rsid w:val="000B59F3"/>
    <w:rsid w:val="000C16C7"/>
    <w:rsid w:val="000C4731"/>
    <w:rsid w:val="000F4DA3"/>
    <w:rsid w:val="0012591A"/>
    <w:rsid w:val="00137566"/>
    <w:rsid w:val="00151698"/>
    <w:rsid w:val="00156C2F"/>
    <w:rsid w:val="001572EB"/>
    <w:rsid w:val="00195DA7"/>
    <w:rsid w:val="001E5899"/>
    <w:rsid w:val="00206DA7"/>
    <w:rsid w:val="00213BA7"/>
    <w:rsid w:val="002475B5"/>
    <w:rsid w:val="0025287C"/>
    <w:rsid w:val="00291566"/>
    <w:rsid w:val="002A3239"/>
    <w:rsid w:val="002B676C"/>
    <w:rsid w:val="002E1B7A"/>
    <w:rsid w:val="002F20AE"/>
    <w:rsid w:val="00305018"/>
    <w:rsid w:val="0032686F"/>
    <w:rsid w:val="003422C3"/>
    <w:rsid w:val="00346F38"/>
    <w:rsid w:val="00353F24"/>
    <w:rsid w:val="0035754C"/>
    <w:rsid w:val="003642B0"/>
    <w:rsid w:val="00365E1A"/>
    <w:rsid w:val="0036602C"/>
    <w:rsid w:val="003A3051"/>
    <w:rsid w:val="003C076F"/>
    <w:rsid w:val="003D36CE"/>
    <w:rsid w:val="003F21B1"/>
    <w:rsid w:val="003F4069"/>
    <w:rsid w:val="003F50CC"/>
    <w:rsid w:val="00406744"/>
    <w:rsid w:val="00411BD1"/>
    <w:rsid w:val="00422BA3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50FED"/>
    <w:rsid w:val="0056072F"/>
    <w:rsid w:val="00594B0B"/>
    <w:rsid w:val="005C42D1"/>
    <w:rsid w:val="005C67A2"/>
    <w:rsid w:val="005C6B5A"/>
    <w:rsid w:val="005D609B"/>
    <w:rsid w:val="005E00EA"/>
    <w:rsid w:val="005F6C3F"/>
    <w:rsid w:val="006007F9"/>
    <w:rsid w:val="00610EC4"/>
    <w:rsid w:val="006154A1"/>
    <w:rsid w:val="00622BCD"/>
    <w:rsid w:val="00633144"/>
    <w:rsid w:val="0064096B"/>
    <w:rsid w:val="00653DAB"/>
    <w:rsid w:val="00661AB2"/>
    <w:rsid w:val="006644B5"/>
    <w:rsid w:val="00666DA9"/>
    <w:rsid w:val="006711FF"/>
    <w:rsid w:val="00694351"/>
    <w:rsid w:val="006B784C"/>
    <w:rsid w:val="006D0397"/>
    <w:rsid w:val="006D3002"/>
    <w:rsid w:val="006F0618"/>
    <w:rsid w:val="007465E4"/>
    <w:rsid w:val="00756A68"/>
    <w:rsid w:val="007A6F14"/>
    <w:rsid w:val="007A730D"/>
    <w:rsid w:val="007D31FC"/>
    <w:rsid w:val="007E1406"/>
    <w:rsid w:val="007E2C99"/>
    <w:rsid w:val="00827F94"/>
    <w:rsid w:val="008313CB"/>
    <w:rsid w:val="00847E08"/>
    <w:rsid w:val="008819D9"/>
    <w:rsid w:val="008839C4"/>
    <w:rsid w:val="00884066"/>
    <w:rsid w:val="008A3B50"/>
    <w:rsid w:val="008A4575"/>
    <w:rsid w:val="008C04D3"/>
    <w:rsid w:val="0095210A"/>
    <w:rsid w:val="009655A0"/>
    <w:rsid w:val="009C2100"/>
    <w:rsid w:val="009D74FD"/>
    <w:rsid w:val="009F4BC1"/>
    <w:rsid w:val="00A0309A"/>
    <w:rsid w:val="00A04F80"/>
    <w:rsid w:val="00A1498B"/>
    <w:rsid w:val="00A15682"/>
    <w:rsid w:val="00A25C33"/>
    <w:rsid w:val="00A3540D"/>
    <w:rsid w:val="00A36DEE"/>
    <w:rsid w:val="00AA625D"/>
    <w:rsid w:val="00AC1B90"/>
    <w:rsid w:val="00AE0156"/>
    <w:rsid w:val="00AE0912"/>
    <w:rsid w:val="00AE155C"/>
    <w:rsid w:val="00AF0EE6"/>
    <w:rsid w:val="00AF47C7"/>
    <w:rsid w:val="00B1107A"/>
    <w:rsid w:val="00B4219D"/>
    <w:rsid w:val="00B87DAF"/>
    <w:rsid w:val="00BA581F"/>
    <w:rsid w:val="00BA7334"/>
    <w:rsid w:val="00BB6A22"/>
    <w:rsid w:val="00BC4652"/>
    <w:rsid w:val="00BF22C6"/>
    <w:rsid w:val="00C03BF4"/>
    <w:rsid w:val="00C164B0"/>
    <w:rsid w:val="00D15D87"/>
    <w:rsid w:val="00D71AAB"/>
    <w:rsid w:val="00DA2C55"/>
    <w:rsid w:val="00DC680B"/>
    <w:rsid w:val="00DD6CCE"/>
    <w:rsid w:val="00E04B7C"/>
    <w:rsid w:val="00E06C84"/>
    <w:rsid w:val="00E13EF0"/>
    <w:rsid w:val="00E15454"/>
    <w:rsid w:val="00E32DB3"/>
    <w:rsid w:val="00E443AE"/>
    <w:rsid w:val="00E506AD"/>
    <w:rsid w:val="00E62070"/>
    <w:rsid w:val="00E73190"/>
    <w:rsid w:val="00E7326C"/>
    <w:rsid w:val="00E81E69"/>
    <w:rsid w:val="00E9202B"/>
    <w:rsid w:val="00ED3ADF"/>
    <w:rsid w:val="00ED4437"/>
    <w:rsid w:val="00EE50FF"/>
    <w:rsid w:val="00EF4C69"/>
    <w:rsid w:val="00EF7FA4"/>
    <w:rsid w:val="00F25259"/>
    <w:rsid w:val="00F323F4"/>
    <w:rsid w:val="00F47899"/>
    <w:rsid w:val="00F82FA9"/>
    <w:rsid w:val="00FB351E"/>
    <w:rsid w:val="00FB7B76"/>
    <w:rsid w:val="00FC20A0"/>
    <w:rsid w:val="00FC7409"/>
    <w:rsid w:val="00FE709F"/>
    <w:rsid w:val="00FF01A9"/>
    <w:rsid w:val="00FF0E23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75E9-DB09-47FA-A428-6E86668C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2022-11-23T15:06:00Z</cp:lastPrinted>
  <dcterms:created xsi:type="dcterms:W3CDTF">2022-02-11T10:05:00Z</dcterms:created>
  <dcterms:modified xsi:type="dcterms:W3CDTF">2024-09-04T05:08:00Z</dcterms:modified>
</cp:coreProperties>
</file>