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0" w:rsidRPr="000D75AB" w:rsidRDefault="00785D10" w:rsidP="00785D10">
      <w:pPr>
        <w:pageBreakBefore/>
        <w:tabs>
          <w:tab w:val="center" w:pos="6634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ЖЕЛЕЗНОДОРОЖНЫЙ ТРАНСПОРТ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Эксплуатационная длина железнодорожных путей общего пользования</w:t>
      </w:r>
      <w:r w:rsidRPr="000D75AB">
        <w:rPr>
          <w:rFonts w:ascii="Arial" w:hAnsi="Arial" w:cs="Arial"/>
          <w:sz w:val="16"/>
          <w:szCs w:val="16"/>
        </w:rPr>
        <w:t xml:space="preserve"> – протяженность в километрах железнодорожных линий общего пользования России, измеряемая по оси главного пути, а на многопутных линиях – кратчайшего главного пути между осями раздельных пунктов (станций, разъездов, обгонных пунктов), ограничивающих эту линию. 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 xml:space="preserve">Эксплуатационная длина железнодорожных путей необщего пользования </w:t>
      </w:r>
      <w:r w:rsidRPr="000D75AB">
        <w:rPr>
          <w:rFonts w:ascii="Arial" w:hAnsi="Arial" w:cs="Arial"/>
          <w:sz w:val="16"/>
          <w:szCs w:val="16"/>
        </w:rPr>
        <w:t xml:space="preserve">– протяженность в километрах подъездных путей промышленных, строительных </w:t>
      </w:r>
      <w:r w:rsidRPr="000D75AB">
        <w:rPr>
          <w:rFonts w:ascii="Arial" w:hAnsi="Arial" w:cs="Arial"/>
          <w:sz w:val="16"/>
          <w:szCs w:val="16"/>
        </w:rPr>
        <w:br/>
        <w:t>и других предприятий, измеряемая по оси пути между конечными его пунктами.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Наличие локомотивов</w:t>
      </w:r>
      <w:r w:rsidRPr="000D75AB">
        <w:rPr>
          <w:rFonts w:ascii="Arial" w:hAnsi="Arial" w:cs="Arial"/>
          <w:sz w:val="16"/>
          <w:szCs w:val="16"/>
        </w:rPr>
        <w:t xml:space="preserve"> определяется по месту их приписки на железной дороге (электровозы, тепловозы, паровозы, </w:t>
      </w:r>
      <w:proofErr w:type="spellStart"/>
      <w:r w:rsidRPr="000D75AB">
        <w:rPr>
          <w:rFonts w:ascii="Arial" w:hAnsi="Arial" w:cs="Arial"/>
          <w:sz w:val="16"/>
          <w:szCs w:val="16"/>
        </w:rPr>
        <w:t>электросекции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D75AB">
        <w:rPr>
          <w:rFonts w:ascii="Arial" w:hAnsi="Arial" w:cs="Arial"/>
          <w:sz w:val="16"/>
          <w:szCs w:val="16"/>
        </w:rPr>
        <w:t>дизель-секции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, автомотрисы). 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Наличие грузовых вагонов </w:t>
      </w:r>
      <w:r w:rsidRPr="000D75AB">
        <w:rPr>
          <w:rFonts w:ascii="Arial" w:hAnsi="Arial" w:cs="Arial"/>
          <w:sz w:val="16"/>
          <w:szCs w:val="16"/>
        </w:rPr>
        <w:t>– количество грузовых вагонов 8-значной нумерации всех категорий и форм собственности, зарегистрированных в автоматизированном банке данных парка грузовых вагонов.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 xml:space="preserve">Учет наличия грузовых вагонов производится в целом (крытые, платформы, полувагоны, цистерны, рефрижераторы, прочие (цементовозы, зерновозы, </w:t>
      </w:r>
      <w:proofErr w:type="spellStart"/>
      <w:r w:rsidRPr="000D75AB">
        <w:rPr>
          <w:rFonts w:ascii="Arial" w:hAnsi="Arial" w:cs="Arial"/>
          <w:sz w:val="16"/>
          <w:szCs w:val="16"/>
        </w:rPr>
        <w:t>минераловозы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75AB">
        <w:rPr>
          <w:rFonts w:ascii="Arial" w:hAnsi="Arial" w:cs="Arial"/>
          <w:sz w:val="16"/>
          <w:szCs w:val="16"/>
        </w:rPr>
        <w:t>фитинговые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 платформы).</w:t>
      </w:r>
      <w:proofErr w:type="gramEnd"/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Наличие пассажирских вагонов</w:t>
      </w:r>
      <w:r w:rsidRPr="000D75AB">
        <w:rPr>
          <w:rFonts w:ascii="Arial" w:hAnsi="Arial" w:cs="Arial"/>
          <w:sz w:val="16"/>
          <w:szCs w:val="16"/>
        </w:rPr>
        <w:t xml:space="preserve"> учитывается по депо приписки на железных дорогах.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Отправление грузов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железнодорожным транспортом общего пользования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– масса грузов в тоннах, принятых к перевозке по инфраструктуре владельца. Величина показателя исчисляется как сумма массы груза всех отправок, принятых в отчетном периоде к перевозке по территории Российской Федерации непосредственно </w:t>
      </w:r>
      <w:r w:rsidRPr="000D75AB">
        <w:rPr>
          <w:rFonts w:ascii="Arial" w:hAnsi="Arial" w:cs="Arial"/>
          <w:sz w:val="16"/>
          <w:szCs w:val="16"/>
        </w:rPr>
        <w:br/>
        <w:t>от грузоотправителей, с других видов транспорта и от иностранных железных дорог для продолжения перевозки.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0D75AB">
        <w:rPr>
          <w:rFonts w:ascii="Arial" w:hAnsi="Arial" w:cs="Arial"/>
          <w:spacing w:val="-2"/>
          <w:sz w:val="16"/>
          <w:szCs w:val="16"/>
        </w:rPr>
        <w:t>Перевозки грузов</w:t>
      </w:r>
      <w:r w:rsidRPr="000D75AB">
        <w:rPr>
          <w:rFonts w:ascii="Arial" w:hAnsi="Arial" w:cs="Arial"/>
          <w:b/>
          <w:bCs/>
          <w:spacing w:val="-2"/>
          <w:sz w:val="16"/>
          <w:szCs w:val="16"/>
        </w:rPr>
        <w:t xml:space="preserve"> промышленным железнодорожным транспортом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 включают </w:t>
      </w:r>
      <w:r w:rsidRPr="000D75AB">
        <w:rPr>
          <w:rFonts w:ascii="Arial" w:hAnsi="Arial" w:cs="Arial"/>
          <w:spacing w:val="-2"/>
          <w:sz w:val="16"/>
          <w:szCs w:val="16"/>
        </w:rPr>
        <w:br/>
        <w:t xml:space="preserve">в себя грузы, перевезенные по подъездным путям промышленных и других предприятий </w:t>
      </w:r>
      <w:r w:rsidRPr="000D75AB">
        <w:rPr>
          <w:rFonts w:ascii="Arial" w:hAnsi="Arial" w:cs="Arial"/>
          <w:spacing w:val="-2"/>
          <w:sz w:val="16"/>
          <w:szCs w:val="16"/>
        </w:rPr>
        <w:br/>
        <w:t xml:space="preserve">и организаций, и являются суммой грузов, принятых с железных дорог общего пользования и переданных на железные дороги, а также грузов, перевезенных </w:t>
      </w:r>
      <w:r w:rsidRPr="000D75AB">
        <w:rPr>
          <w:rFonts w:ascii="Arial" w:hAnsi="Arial" w:cs="Arial"/>
          <w:spacing w:val="-2"/>
          <w:sz w:val="16"/>
          <w:szCs w:val="16"/>
        </w:rPr>
        <w:br/>
        <w:t>по подъездным путям в пределах этих предприятий и организаций без выхода на сеть общего пользования.</w:t>
      </w:r>
      <w:proofErr w:type="gramEnd"/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Грузооборот 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железнодорожного </w:t>
      </w:r>
      <w:r w:rsidRPr="000D75AB">
        <w:rPr>
          <w:rFonts w:ascii="Arial" w:hAnsi="Arial" w:cs="Arial"/>
          <w:bCs/>
          <w:sz w:val="16"/>
          <w:szCs w:val="16"/>
        </w:rPr>
        <w:t>транспорта</w:t>
      </w:r>
      <w:r w:rsidRPr="000D75AB">
        <w:rPr>
          <w:rFonts w:ascii="Arial" w:hAnsi="Arial" w:cs="Arial"/>
          <w:sz w:val="16"/>
          <w:szCs w:val="16"/>
        </w:rPr>
        <w:t xml:space="preserve"> - объем выполненной работы </w:t>
      </w:r>
      <w:r w:rsidRPr="000D75AB">
        <w:rPr>
          <w:rFonts w:ascii="Arial" w:hAnsi="Arial" w:cs="Arial"/>
          <w:sz w:val="16"/>
          <w:szCs w:val="16"/>
        </w:rPr>
        <w:br/>
        <w:t xml:space="preserve">при перевозке грузов с учетом расстояния их перевозки. Определяется по моменту прибытия груза, как сумма произведений массы каждой отправки в тоннах </w:t>
      </w:r>
      <w:r w:rsidRPr="000D75AB">
        <w:rPr>
          <w:rFonts w:ascii="Arial" w:hAnsi="Arial" w:cs="Arial"/>
          <w:sz w:val="16"/>
          <w:szCs w:val="16"/>
        </w:rPr>
        <w:br/>
        <w:t>на расстояние перевозки, измеряется в тонно-километрах.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Отправление пассажиров</w:t>
      </w:r>
      <w:r w:rsidRPr="000D75AB">
        <w:rPr>
          <w:rFonts w:ascii="Arial" w:hAnsi="Arial" w:cs="Arial"/>
          <w:sz w:val="16"/>
          <w:szCs w:val="16"/>
        </w:rPr>
        <w:t xml:space="preserve"> железнодорожным транспортом – объем выполненной работы по перевозкам пассажиров. Определяется по числу проездных документов, 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проданных и выданных бесплатно (лицам, пользующимся правом бесплатного проезда) в данном отчетном периоде с учетом приходящихся на этот период </w:t>
      </w:r>
      <w:proofErr w:type="spellStart"/>
      <w:r w:rsidRPr="000D75AB">
        <w:rPr>
          <w:rFonts w:ascii="Arial" w:hAnsi="Arial" w:cs="Arial"/>
          <w:spacing w:val="-2"/>
          <w:sz w:val="16"/>
          <w:szCs w:val="16"/>
        </w:rPr>
        <w:t>пассажиропоездок</w:t>
      </w:r>
      <w:proofErr w:type="spellEnd"/>
      <w:r w:rsidRPr="000D75AB">
        <w:rPr>
          <w:rFonts w:ascii="Arial" w:hAnsi="Arial" w:cs="Arial"/>
          <w:spacing w:val="-2"/>
          <w:sz w:val="16"/>
          <w:szCs w:val="16"/>
        </w:rPr>
        <w:t>, совершенных по групповым билетам, абонементным и другим документам.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Пассажирские перевозки </w:t>
      </w:r>
      <w:r w:rsidRPr="000D75AB">
        <w:rPr>
          <w:rFonts w:ascii="Arial" w:hAnsi="Arial" w:cs="Arial"/>
          <w:sz w:val="16"/>
          <w:szCs w:val="16"/>
        </w:rPr>
        <w:t>учитываются в пригородном сообщении и дальнем следовании.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перевозкам в пригородном сообщении относятся перевозки пассажиров поездами соответствующей нумерации, состоящими из вагонов для сидения, следующих на расстояние не более </w:t>
      </w:r>
      <w:smartTag w:uri="urn:schemas-microsoft-com:office:smarttags" w:element="metricconverter">
        <w:smartTagPr>
          <w:attr w:name="ProductID" w:val="200 км"/>
        </w:smartTagPr>
        <w:r w:rsidRPr="000D75AB">
          <w:rPr>
            <w:rFonts w:ascii="Arial" w:hAnsi="Arial" w:cs="Arial"/>
            <w:sz w:val="16"/>
            <w:szCs w:val="16"/>
          </w:rPr>
          <w:t>200 км</w:t>
        </w:r>
      </w:smartTag>
      <w:r w:rsidRPr="000D75AB">
        <w:rPr>
          <w:rFonts w:ascii="Arial" w:hAnsi="Arial" w:cs="Arial"/>
          <w:sz w:val="16"/>
          <w:szCs w:val="16"/>
        </w:rPr>
        <w:t>. Пригородным считают участок обращения пригородных поездов соответствующей нумерации.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D75AB">
        <w:rPr>
          <w:rFonts w:ascii="Arial" w:hAnsi="Arial" w:cs="Arial"/>
          <w:spacing w:val="-2"/>
          <w:sz w:val="16"/>
          <w:szCs w:val="16"/>
        </w:rPr>
        <w:t xml:space="preserve">Перевозки пассажиров в пределах пригородной зоны двух смежных дорог относят </w:t>
      </w:r>
      <w:r w:rsidRPr="000D75AB">
        <w:rPr>
          <w:rFonts w:ascii="Arial" w:hAnsi="Arial" w:cs="Arial"/>
          <w:spacing w:val="-2"/>
          <w:sz w:val="16"/>
          <w:szCs w:val="16"/>
        </w:rPr>
        <w:br/>
        <w:t>к перевозкам в пригородном сообщении каждой из этих дорог, а не к прямому сообщению.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перевозкам в дальнем следовании относятся перевозки в местном сообщении (перевозки пассажиров, совершаемые в пределах одной железной дороги) и прямом сообщении (перевозки пассажиров, совершаемые в пределах двух дорог и более </w:t>
      </w:r>
      <w:r w:rsidRPr="000D75AB">
        <w:rPr>
          <w:rFonts w:ascii="Arial" w:hAnsi="Arial" w:cs="Arial"/>
          <w:sz w:val="16"/>
          <w:szCs w:val="16"/>
        </w:rPr>
        <w:br/>
        <w:t>по единому билету).</w:t>
      </w:r>
    </w:p>
    <w:p w:rsidR="00785D10" w:rsidRPr="000D75AB" w:rsidRDefault="00785D10" w:rsidP="00785D10">
      <w:pPr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перевозкам в международном сообщении с участием железнодорожного транспорта относятся перевозки в прямом и непрямом международном сообщении пассажиров между Российской Федерацией и иностранными государствами, </w:t>
      </w:r>
      <w:r w:rsidRPr="000D75AB">
        <w:rPr>
          <w:rFonts w:ascii="Arial" w:hAnsi="Arial" w:cs="Arial"/>
          <w:sz w:val="16"/>
          <w:szCs w:val="16"/>
        </w:rPr>
        <w:br/>
        <w:t>в том числе транзит по территории Российской Федерации, в результате которых пассажиры, пересекают границы между Российской Федерацией и иностранными государствами.</w:t>
      </w: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  <w:bookmarkStart w:id="0" w:name="_GoBack"/>
      <w:bookmarkEnd w:id="0"/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31DB71-96A5-46B9-8491-692A8AD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21</cp:revision>
  <cp:lastPrinted>2022-08-02T13:38:00Z</cp:lastPrinted>
  <dcterms:created xsi:type="dcterms:W3CDTF">2022-12-26T08:35:00Z</dcterms:created>
  <dcterms:modified xsi:type="dcterms:W3CDTF">2022-12-26T11:43:00Z</dcterms:modified>
</cp:coreProperties>
</file>