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828" w:rsidRPr="005A0828" w:rsidRDefault="005A0828" w:rsidP="005A0828">
      <w:pPr>
        <w:pStyle w:val="a3"/>
        <w:rPr>
          <w:bCs/>
        </w:rPr>
      </w:pPr>
      <w:r>
        <w:rPr>
          <w:bCs/>
          <w:i/>
          <w:highlight w:val="yellow"/>
        </w:rPr>
        <w:t>Обновлено 26.03.2020</w:t>
      </w:r>
    </w:p>
    <w:p w:rsidR="000B265B" w:rsidRDefault="000B265B" w:rsidP="000B265B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0B265B" w:rsidRPr="000B265B" w:rsidRDefault="000B265B" w:rsidP="000B265B">
      <w:pPr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B265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Структура задолженности</w:t>
      </w:r>
      <w:r w:rsidR="00C43DE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0B265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по налог</w:t>
      </w:r>
      <w:r w:rsidR="00C43DE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ам, сборам, пеням  и налоговым санкциям</w:t>
      </w:r>
      <w:r w:rsidRPr="000B265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C43DE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в бюджетную систему</w:t>
      </w:r>
      <w:r w:rsidR="00C43DE8" w:rsidRPr="00C43DE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C43DE8" w:rsidRPr="000B265B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Российской Федерации</w:t>
      </w:r>
      <w:r w:rsidR="00C43DE8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C76D00">
        <w:rPr>
          <w:rFonts w:ascii="Times New Roman" w:eastAsiaTheme="minorEastAsia" w:hAnsi="Times New Roman" w:cs="Times New Roman"/>
          <w:b/>
          <w:bCs/>
          <w:vertAlign w:val="superscript"/>
          <w:lang w:eastAsia="ru-RU"/>
        </w:rPr>
        <w:t>1)</w:t>
      </w:r>
      <w:r w:rsidRPr="000B265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265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br/>
      </w:r>
      <w:r w:rsidRPr="000B26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1 января 20</w:t>
      </w:r>
      <w:r w:rsidR="00D82D2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0B26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</w:t>
      </w:r>
    </w:p>
    <w:tbl>
      <w:tblPr>
        <w:tblW w:w="4862" w:type="pct"/>
        <w:jc w:val="center"/>
        <w:tblCellSpacing w:w="7" w:type="dxa"/>
        <w:tblBorders>
          <w:top w:val="outset" w:sz="2" w:space="0" w:color="A6A6A6" w:themeColor="background1" w:themeShade="A6"/>
          <w:left w:val="outset" w:sz="2" w:space="0" w:color="A6A6A6" w:themeColor="background1" w:themeShade="A6"/>
          <w:bottom w:val="outset" w:sz="2" w:space="0" w:color="A6A6A6" w:themeColor="background1" w:themeShade="A6"/>
          <w:right w:val="outset" w:sz="2" w:space="0" w:color="A6A6A6" w:themeColor="background1" w:themeShade="A6"/>
          <w:insideH w:val="outset" w:sz="2" w:space="0" w:color="A6A6A6" w:themeColor="background1" w:themeShade="A6"/>
          <w:insideV w:val="outset" w:sz="2" w:space="0" w:color="A6A6A6" w:themeColor="background1" w:themeShade="A6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80"/>
        <w:gridCol w:w="984"/>
        <w:gridCol w:w="1156"/>
        <w:gridCol w:w="1088"/>
        <w:gridCol w:w="1361"/>
        <w:gridCol w:w="1143"/>
        <w:gridCol w:w="1226"/>
      </w:tblGrid>
      <w:tr w:rsidR="007E1C96" w:rsidRPr="000B265B" w:rsidTr="007753A4">
        <w:trPr>
          <w:tblCellSpacing w:w="7" w:type="dxa"/>
          <w:jc w:val="center"/>
        </w:trPr>
        <w:tc>
          <w:tcPr>
            <w:tcW w:w="1275" w:type="pct"/>
            <w:vMerge w:val="restart"/>
            <w:shd w:val="clear" w:color="auto" w:fill="99CCFF"/>
            <w:vAlign w:val="bottom"/>
            <w:hideMark/>
          </w:tcPr>
          <w:p w:rsidR="00E72D84" w:rsidRPr="000B265B" w:rsidRDefault="00E72D84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26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72D84" w:rsidRPr="000B265B" w:rsidRDefault="00E72D84" w:rsidP="005A0828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B26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1" w:type="pct"/>
            <w:gridSpan w:val="2"/>
            <w:shd w:val="clear" w:color="auto" w:fill="99CCFF"/>
            <w:vAlign w:val="bottom"/>
            <w:hideMark/>
          </w:tcPr>
          <w:p w:rsidR="00E72D84" w:rsidRPr="00A17582" w:rsidRDefault="00E72D84" w:rsidP="000B26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Задолженность</w:t>
            </w:r>
            <w:r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по налогам, сборам, пеням, налоговым санкциям</w:t>
            </w:r>
          </w:p>
        </w:tc>
        <w:tc>
          <w:tcPr>
            <w:tcW w:w="1308" w:type="pct"/>
            <w:gridSpan w:val="2"/>
            <w:shd w:val="clear" w:color="auto" w:fill="99CCFF"/>
            <w:vAlign w:val="center"/>
            <w:hideMark/>
          </w:tcPr>
          <w:p w:rsidR="006D7C09" w:rsidRDefault="006D7C09" w:rsidP="00E72D8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E72D84" w:rsidRDefault="00E72D84" w:rsidP="00E72D8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Из нее</w:t>
            </w:r>
          </w:p>
          <w:p w:rsidR="00E72D84" w:rsidRPr="00A17582" w:rsidRDefault="00E72D84" w:rsidP="00E72D8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недоимка</w:t>
            </w:r>
          </w:p>
        </w:tc>
        <w:tc>
          <w:tcPr>
            <w:tcW w:w="1239" w:type="pct"/>
            <w:gridSpan w:val="2"/>
            <w:shd w:val="clear" w:color="auto" w:fill="99CCFF"/>
            <w:vAlign w:val="bottom"/>
          </w:tcPr>
          <w:p w:rsidR="00E72D84" w:rsidRPr="00A17582" w:rsidRDefault="00A3614A" w:rsidP="00A36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У</w:t>
            </w:r>
            <w:r w:rsidRPr="00A1758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регулированная </w:t>
            </w:r>
            <w:r w:rsidRPr="00A17582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задолженность</w:t>
            </w:r>
            <w:r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по налогам и сборам</w:t>
            </w:r>
          </w:p>
        </w:tc>
      </w:tr>
      <w:tr w:rsidR="007E1C96" w:rsidRPr="000B265B" w:rsidTr="005A0828">
        <w:trPr>
          <w:trHeight w:val="592"/>
          <w:tblCellSpacing w:w="7" w:type="dxa"/>
          <w:jc w:val="center"/>
        </w:trPr>
        <w:tc>
          <w:tcPr>
            <w:tcW w:w="1275" w:type="pct"/>
            <w:vMerge/>
            <w:vAlign w:val="center"/>
            <w:hideMark/>
          </w:tcPr>
          <w:p w:rsidR="00A3614A" w:rsidRPr="000B265B" w:rsidRDefault="00A3614A" w:rsidP="000B26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tcBorders>
              <w:right w:val="single" w:sz="4" w:space="0" w:color="auto"/>
            </w:tcBorders>
            <w:shd w:val="clear" w:color="auto" w:fill="99CCFF"/>
            <w:hideMark/>
          </w:tcPr>
          <w:p w:rsidR="00A3614A" w:rsidRPr="00A3614A" w:rsidRDefault="00A3614A" w:rsidP="00A36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млрд.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рублей</w:t>
            </w:r>
          </w:p>
        </w:tc>
        <w:tc>
          <w:tcPr>
            <w:tcW w:w="610" w:type="pct"/>
            <w:shd w:val="clear" w:color="auto" w:fill="99CCFF"/>
            <w:hideMark/>
          </w:tcPr>
          <w:p w:rsidR="00A3614A" w:rsidRPr="005772C5" w:rsidRDefault="002B707A" w:rsidP="005A08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color w:val="EEECE1" w:themeColor="background2"/>
                <w:sz w:val="16"/>
                <w:szCs w:val="16"/>
                <w:lang w:eastAsia="ru-RU"/>
              </w:rPr>
            </w:pPr>
            <w:proofErr w:type="gramStart"/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% к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итогу</w:t>
            </w:r>
          </w:p>
        </w:tc>
        <w:tc>
          <w:tcPr>
            <w:tcW w:w="580" w:type="pct"/>
            <w:tcBorders>
              <w:left w:val="single" w:sz="4" w:space="0" w:color="auto"/>
            </w:tcBorders>
            <w:shd w:val="clear" w:color="auto" w:fill="99CCFF"/>
          </w:tcPr>
          <w:p w:rsidR="00A3614A" w:rsidRPr="00A3614A" w:rsidRDefault="00A3614A" w:rsidP="00A36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млрд.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рублей</w:t>
            </w:r>
          </w:p>
        </w:tc>
        <w:tc>
          <w:tcPr>
            <w:tcW w:w="720" w:type="pct"/>
            <w:shd w:val="clear" w:color="auto" w:fill="99CCFF"/>
          </w:tcPr>
          <w:p w:rsidR="00A3614A" w:rsidRPr="00A3614A" w:rsidRDefault="00A3614A" w:rsidP="00A70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</w:pPr>
            <w:proofErr w:type="gramStart"/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% к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итогу</w:t>
            </w:r>
          </w:p>
          <w:p w:rsidR="00A3614A" w:rsidRPr="00A3614A" w:rsidRDefault="00A3614A" w:rsidP="00A70905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3614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99CCFF"/>
            <w:hideMark/>
          </w:tcPr>
          <w:p w:rsidR="00A3614A" w:rsidRPr="00A3614A" w:rsidRDefault="00A3614A" w:rsidP="00A709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млрд.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рублей</w:t>
            </w:r>
          </w:p>
        </w:tc>
        <w:tc>
          <w:tcPr>
            <w:tcW w:w="622" w:type="pct"/>
            <w:tcBorders>
              <w:left w:val="nil"/>
            </w:tcBorders>
            <w:shd w:val="clear" w:color="auto" w:fill="99CCFF"/>
          </w:tcPr>
          <w:p w:rsidR="00A3614A" w:rsidRPr="00A3614A" w:rsidRDefault="00A3614A" w:rsidP="005A08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в % к</w:t>
            </w:r>
            <w:r w:rsidRPr="00A3614A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br/>
              <w:t>итогу</w:t>
            </w:r>
            <w:bookmarkStart w:id="0" w:name="_GoBack"/>
            <w:bookmarkEnd w:id="0"/>
            <w:r w:rsidRPr="00A3614A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24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710,2</w:t>
            </w:r>
          </w:p>
        </w:tc>
        <w:tc>
          <w:tcPr>
            <w:tcW w:w="61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8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535,2</w:t>
            </w:r>
          </w:p>
        </w:tc>
        <w:tc>
          <w:tcPr>
            <w:tcW w:w="72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146,8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82D27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9A269F">
            <w:pPr>
              <w:spacing w:before="100" w:beforeAutospacing="1" w:after="100" w:afterAutospacing="1" w:line="240" w:lineRule="auto"/>
              <w:ind w:firstLine="113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из них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: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</w: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по федеральным налогам и сборам</w:t>
            </w:r>
          </w:p>
        </w:tc>
        <w:tc>
          <w:tcPr>
            <w:tcW w:w="524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361,2</w:t>
            </w:r>
          </w:p>
        </w:tc>
        <w:tc>
          <w:tcPr>
            <w:tcW w:w="61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  <w:tc>
          <w:tcPr>
            <w:tcW w:w="58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259,3</w:t>
            </w:r>
          </w:p>
        </w:tc>
        <w:tc>
          <w:tcPr>
            <w:tcW w:w="72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48,5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77,5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9A269F">
            <w:pPr>
              <w:spacing w:before="100" w:beforeAutospacing="1" w:after="100" w:afterAutospacing="1" w:line="240" w:lineRule="auto"/>
              <w:ind w:firstLine="113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из них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: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  <w:t>налог на прибыль организаций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67,2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8,6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C76D00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налог на добавленную стоимость на товары (работы, услуги)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225,6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166,3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32,1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   из него налог на добавленную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  <w:t xml:space="preserve">   стоимость на товары (работы,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  <w:t xml:space="preserve">   услуги), реализуемые на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  <w:t xml:space="preserve">   территории Российской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Федерации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224,8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165,7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31,0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32,1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C76D00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налоги, сборы и регулярные платежи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за пользование природными ресурсами</w:t>
            </w:r>
          </w:p>
        </w:tc>
        <w:tc>
          <w:tcPr>
            <w:tcW w:w="524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  <w:tc>
          <w:tcPr>
            <w:tcW w:w="610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   из них налог на добычу </w:t>
            </w: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br/>
              <w:t>   полезных ископаемых</w:t>
            </w:r>
          </w:p>
        </w:tc>
        <w:tc>
          <w:tcPr>
            <w:tcW w:w="524" w:type="pct"/>
            <w:vAlign w:val="bottom"/>
            <w:hideMark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C76D00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по региональным налогам и сборам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121,7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17,1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102,1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15,2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10,4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>по местным налогам и сборам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  <w:hideMark/>
          </w:tcPr>
          <w:p w:rsidR="00D82D27" w:rsidRPr="00A17582" w:rsidRDefault="00D82D27" w:rsidP="000B265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 налогам со специальным </w:t>
            </w:r>
            <w:r w:rsidRPr="00A17582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налоговым режимом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18,8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</w:tcPr>
          <w:p w:rsidR="00D82D27" w:rsidRPr="00E8545F" w:rsidRDefault="00D82D27" w:rsidP="00E8545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5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единому социальному налогу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82D27" w:rsidRPr="00E031D9" w:rsidTr="007753A4">
        <w:trPr>
          <w:tblCellSpacing w:w="7" w:type="dxa"/>
          <w:jc w:val="center"/>
        </w:trPr>
        <w:tc>
          <w:tcPr>
            <w:tcW w:w="1275" w:type="pct"/>
            <w:vAlign w:val="bottom"/>
          </w:tcPr>
          <w:p w:rsidR="00D82D27" w:rsidRPr="00E8545F" w:rsidRDefault="00D82D27" w:rsidP="00E8545F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545F">
              <w:rPr>
                <w:rFonts w:ascii="Times New Roman" w:eastAsiaTheme="minorEastAsia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страховым взносам</w:t>
            </w:r>
          </w:p>
        </w:tc>
        <w:tc>
          <w:tcPr>
            <w:tcW w:w="524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16,9</w:t>
            </w:r>
          </w:p>
        </w:tc>
        <w:tc>
          <w:tcPr>
            <w:tcW w:w="58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72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16,8</w:t>
            </w:r>
          </w:p>
        </w:tc>
        <w:tc>
          <w:tcPr>
            <w:tcW w:w="610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622" w:type="pct"/>
            <w:vAlign w:val="bottom"/>
          </w:tcPr>
          <w:p w:rsidR="00D82D27" w:rsidRPr="00D82D27" w:rsidRDefault="00D82D27" w:rsidP="00D82D27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82D27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</w:tr>
      <w:tr w:rsidR="00A2394B" w:rsidRPr="00E031D9" w:rsidTr="007753A4">
        <w:trPr>
          <w:tblCellSpacing w:w="7" w:type="dxa"/>
          <w:jc w:val="center"/>
        </w:trPr>
        <w:tc>
          <w:tcPr>
            <w:tcW w:w="4985" w:type="pct"/>
            <w:gridSpan w:val="7"/>
            <w:vAlign w:val="bottom"/>
          </w:tcPr>
          <w:p w:rsidR="00595147" w:rsidRPr="004C3460" w:rsidRDefault="00595147" w:rsidP="0059514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  <w:p w:rsidR="00A2394B" w:rsidRPr="00595147" w:rsidRDefault="00595147" w:rsidP="004C346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4C3460">
              <w:rPr>
                <w:rFonts w:ascii="Times New Roman" w:eastAsiaTheme="minorEastAsia" w:hAnsi="Times New Roman" w:cs="Times New Roman"/>
                <w:i/>
                <w:iCs/>
                <w:sz w:val="16"/>
                <w:szCs w:val="16"/>
                <w:lang w:eastAsia="ru-RU"/>
              </w:rPr>
              <w:t>1) По данным ФНС России.</w:t>
            </w:r>
          </w:p>
        </w:tc>
      </w:tr>
    </w:tbl>
    <w:p w:rsidR="00017EFE" w:rsidRDefault="00017EFE" w:rsidP="000A7AD0">
      <w:pPr>
        <w:spacing w:after="0" w:line="240" w:lineRule="auto"/>
        <w:ind w:firstLine="851"/>
        <w:rPr>
          <w:rFonts w:ascii="Times New Roman" w:eastAsiaTheme="minorEastAsia" w:hAnsi="Times New Roman" w:cs="Times New Roman"/>
          <w:i/>
          <w:iCs/>
          <w:sz w:val="15"/>
          <w:szCs w:val="15"/>
          <w:lang w:eastAsia="ru-RU"/>
        </w:rPr>
      </w:pPr>
    </w:p>
    <w:sectPr w:rsidR="0001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A55A6"/>
    <w:multiLevelType w:val="hybridMultilevel"/>
    <w:tmpl w:val="F40650DA"/>
    <w:lvl w:ilvl="0" w:tplc="21FE522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5B"/>
    <w:rsid w:val="0000797C"/>
    <w:rsid w:val="00017EFE"/>
    <w:rsid w:val="0002305C"/>
    <w:rsid w:val="00057CA1"/>
    <w:rsid w:val="00096EE0"/>
    <w:rsid w:val="000A7AD0"/>
    <w:rsid w:val="000B265B"/>
    <w:rsid w:val="001777DC"/>
    <w:rsid w:val="0018308D"/>
    <w:rsid w:val="001D7945"/>
    <w:rsid w:val="002B707A"/>
    <w:rsid w:val="002F66FA"/>
    <w:rsid w:val="003641CB"/>
    <w:rsid w:val="00384F46"/>
    <w:rsid w:val="004226A0"/>
    <w:rsid w:val="0044368D"/>
    <w:rsid w:val="0047212D"/>
    <w:rsid w:val="004B732F"/>
    <w:rsid w:val="004C2A87"/>
    <w:rsid w:val="004C3460"/>
    <w:rsid w:val="0051710F"/>
    <w:rsid w:val="005772C5"/>
    <w:rsid w:val="00595147"/>
    <w:rsid w:val="005A0828"/>
    <w:rsid w:val="005B45E6"/>
    <w:rsid w:val="005E4876"/>
    <w:rsid w:val="00685F29"/>
    <w:rsid w:val="006D50EA"/>
    <w:rsid w:val="006D7C09"/>
    <w:rsid w:val="007753A4"/>
    <w:rsid w:val="007B6578"/>
    <w:rsid w:val="007E1C96"/>
    <w:rsid w:val="0082252C"/>
    <w:rsid w:val="008755C1"/>
    <w:rsid w:val="008774E8"/>
    <w:rsid w:val="008C56DE"/>
    <w:rsid w:val="0090594E"/>
    <w:rsid w:val="009408EC"/>
    <w:rsid w:val="009A269F"/>
    <w:rsid w:val="009A5962"/>
    <w:rsid w:val="00A17582"/>
    <w:rsid w:val="00A2394B"/>
    <w:rsid w:val="00A3614A"/>
    <w:rsid w:val="00A623B7"/>
    <w:rsid w:val="00B46827"/>
    <w:rsid w:val="00B6630E"/>
    <w:rsid w:val="00BC2E1F"/>
    <w:rsid w:val="00BC41B3"/>
    <w:rsid w:val="00BE7DA2"/>
    <w:rsid w:val="00C43DE8"/>
    <w:rsid w:val="00C76D00"/>
    <w:rsid w:val="00CB45FC"/>
    <w:rsid w:val="00CC28D0"/>
    <w:rsid w:val="00D57ED9"/>
    <w:rsid w:val="00D82D27"/>
    <w:rsid w:val="00DA6BE2"/>
    <w:rsid w:val="00DA7E2F"/>
    <w:rsid w:val="00DF2A58"/>
    <w:rsid w:val="00E031D9"/>
    <w:rsid w:val="00E1065C"/>
    <w:rsid w:val="00E13326"/>
    <w:rsid w:val="00E309E8"/>
    <w:rsid w:val="00E57FF7"/>
    <w:rsid w:val="00E72D84"/>
    <w:rsid w:val="00E84E72"/>
    <w:rsid w:val="00E8545F"/>
    <w:rsid w:val="00EA3A9E"/>
    <w:rsid w:val="00EA5E26"/>
    <w:rsid w:val="00F3013E"/>
    <w:rsid w:val="00F6519A"/>
    <w:rsid w:val="00F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6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5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26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5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Сусская ОВ.</cp:lastModifiedBy>
  <cp:revision>34</cp:revision>
  <cp:lastPrinted>2020-03-25T10:15:00Z</cp:lastPrinted>
  <dcterms:created xsi:type="dcterms:W3CDTF">2019-03-18T14:09:00Z</dcterms:created>
  <dcterms:modified xsi:type="dcterms:W3CDTF">2020-03-26T09:20:00Z</dcterms:modified>
</cp:coreProperties>
</file>