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jc w:val="center"/>
        <w:tblInd w:w="-2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4976"/>
      </w:tblGrid>
      <w:tr w:rsidR="00801740" w:rsidRPr="00801740" w:rsidTr="00840CCE">
        <w:trPr>
          <w:trHeight w:val="7687"/>
          <w:jc w:val="center"/>
        </w:trPr>
        <w:tc>
          <w:tcPr>
            <w:tcW w:w="14976" w:type="dxa"/>
          </w:tcPr>
          <w:p w:rsidR="005C43CD" w:rsidRPr="005C43CD" w:rsidRDefault="00840CCE" w:rsidP="001F247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E4D25" wp14:editId="3D428E3C">
                  <wp:extent cx="9229725" cy="47434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801740" w:rsidRPr="00801740" w:rsidTr="00840CCE">
        <w:trPr>
          <w:trHeight w:val="320"/>
          <w:jc w:val="center"/>
        </w:trPr>
        <w:tc>
          <w:tcPr>
            <w:tcW w:w="14976" w:type="dxa"/>
            <w:vAlign w:val="bottom"/>
          </w:tcPr>
          <w:p w:rsidR="00801740" w:rsidRPr="00801740" w:rsidRDefault="004A400C" w:rsidP="008017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Добыча полезных ископаемых</w:t>
            </w:r>
          </w:p>
        </w:tc>
      </w:tr>
      <w:tr w:rsidR="00801740" w:rsidRPr="00801740" w:rsidTr="00840CCE">
        <w:trPr>
          <w:trHeight w:val="337"/>
          <w:jc w:val="center"/>
        </w:trPr>
        <w:tc>
          <w:tcPr>
            <w:tcW w:w="14976" w:type="dxa"/>
            <w:vAlign w:val="bottom"/>
          </w:tcPr>
          <w:p w:rsidR="00801740" w:rsidRPr="00801740" w:rsidRDefault="004A400C" w:rsidP="008017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801740" w:rsidRPr="00801740" w:rsidTr="00840CCE">
        <w:trPr>
          <w:trHeight w:val="320"/>
          <w:jc w:val="center"/>
        </w:trPr>
        <w:tc>
          <w:tcPr>
            <w:tcW w:w="14976" w:type="dxa"/>
            <w:vAlign w:val="bottom"/>
          </w:tcPr>
          <w:p w:rsidR="00801740" w:rsidRPr="00801740" w:rsidRDefault="004A400C" w:rsidP="008017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EE48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Обеспечение электрической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энергией, газом и паром; кондиционирование воздуха</w:t>
            </w:r>
          </w:p>
        </w:tc>
      </w:tr>
      <w:tr w:rsidR="00801740" w:rsidRPr="00801740" w:rsidTr="00840CCE">
        <w:trPr>
          <w:trHeight w:val="95"/>
          <w:jc w:val="center"/>
        </w:trPr>
        <w:tc>
          <w:tcPr>
            <w:tcW w:w="14976" w:type="dxa"/>
            <w:vAlign w:val="bottom"/>
          </w:tcPr>
          <w:p w:rsidR="00801740" w:rsidRPr="00801740" w:rsidRDefault="004A400C" w:rsidP="0080174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801740" w:rsidRPr="008017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</w:tbl>
    <w:p w:rsidR="00290430" w:rsidRPr="00EA4D06" w:rsidRDefault="00840CCE" w:rsidP="005159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DC6796B" wp14:editId="18117764">
            <wp:extent cx="9705975" cy="6181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50FC6">
        <w:rPr>
          <w:noProof/>
          <w:lang w:eastAsia="ru-RU"/>
        </w:rPr>
        <w:lastRenderedPageBreak/>
        <w:drawing>
          <wp:inline distT="0" distB="0" distL="0" distR="0" wp14:anchorId="229AD767" wp14:editId="58159615">
            <wp:extent cx="9458325" cy="62007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71A" w:rsidRDefault="0091599B" w:rsidP="005159B0">
      <w:r>
        <w:rPr>
          <w:noProof/>
          <w:lang w:eastAsia="ru-RU"/>
        </w:rPr>
        <w:lastRenderedPageBreak/>
        <w:drawing>
          <wp:inline distT="0" distB="0" distL="0" distR="0" wp14:anchorId="188781E7" wp14:editId="671BF3E4">
            <wp:extent cx="9410700" cy="64674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28271A" w:rsidSect="001F2476">
      <w:pgSz w:w="16838" w:h="11906" w:orient="landscape" w:code="9"/>
      <w:pgMar w:top="851" w:right="992" w:bottom="1134" w:left="95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58"/>
    <w:rsid w:val="00032D3E"/>
    <w:rsid w:val="00040E76"/>
    <w:rsid w:val="00042004"/>
    <w:rsid w:val="00083B83"/>
    <w:rsid w:val="00084807"/>
    <w:rsid w:val="00084B21"/>
    <w:rsid w:val="000A0D67"/>
    <w:rsid w:val="000A25A0"/>
    <w:rsid w:val="000C45ED"/>
    <w:rsid w:val="000C50D6"/>
    <w:rsid w:val="000E2730"/>
    <w:rsid w:val="001054C4"/>
    <w:rsid w:val="001072AF"/>
    <w:rsid w:val="00112521"/>
    <w:rsid w:val="00130D45"/>
    <w:rsid w:val="00144BC4"/>
    <w:rsid w:val="00150D14"/>
    <w:rsid w:val="00150FC6"/>
    <w:rsid w:val="001531AD"/>
    <w:rsid w:val="0017139D"/>
    <w:rsid w:val="00173B0F"/>
    <w:rsid w:val="001A10E6"/>
    <w:rsid w:val="001A231F"/>
    <w:rsid w:val="001B5A0E"/>
    <w:rsid w:val="001C3544"/>
    <w:rsid w:val="001C4216"/>
    <w:rsid w:val="001C5E3A"/>
    <w:rsid w:val="001D5B3C"/>
    <w:rsid w:val="001F2476"/>
    <w:rsid w:val="002057AC"/>
    <w:rsid w:val="00212009"/>
    <w:rsid w:val="00216298"/>
    <w:rsid w:val="002228FC"/>
    <w:rsid w:val="00236B6A"/>
    <w:rsid w:val="00242BFE"/>
    <w:rsid w:val="00255141"/>
    <w:rsid w:val="00265C9E"/>
    <w:rsid w:val="00266CC1"/>
    <w:rsid w:val="002747BA"/>
    <w:rsid w:val="002755AD"/>
    <w:rsid w:val="00275D29"/>
    <w:rsid w:val="00282600"/>
    <w:rsid w:val="0028271A"/>
    <w:rsid w:val="00285DC3"/>
    <w:rsid w:val="00290430"/>
    <w:rsid w:val="00295DD7"/>
    <w:rsid w:val="002B0298"/>
    <w:rsid w:val="002B71DF"/>
    <w:rsid w:val="002C4578"/>
    <w:rsid w:val="002C6D0B"/>
    <w:rsid w:val="002D0F17"/>
    <w:rsid w:val="002E6C64"/>
    <w:rsid w:val="0032389F"/>
    <w:rsid w:val="00325F6E"/>
    <w:rsid w:val="003435DE"/>
    <w:rsid w:val="0036572D"/>
    <w:rsid w:val="00373FF5"/>
    <w:rsid w:val="00376BBF"/>
    <w:rsid w:val="003B0935"/>
    <w:rsid w:val="003C49D3"/>
    <w:rsid w:val="004071D7"/>
    <w:rsid w:val="004203C6"/>
    <w:rsid w:val="00420E04"/>
    <w:rsid w:val="0043355D"/>
    <w:rsid w:val="0044608E"/>
    <w:rsid w:val="00495ADC"/>
    <w:rsid w:val="004A11C8"/>
    <w:rsid w:val="004A2965"/>
    <w:rsid w:val="004A400C"/>
    <w:rsid w:val="004A4AA9"/>
    <w:rsid w:val="004B6556"/>
    <w:rsid w:val="00505E8A"/>
    <w:rsid w:val="00506D2F"/>
    <w:rsid w:val="005159B0"/>
    <w:rsid w:val="00515B6F"/>
    <w:rsid w:val="00526A77"/>
    <w:rsid w:val="005309F4"/>
    <w:rsid w:val="0053317F"/>
    <w:rsid w:val="0055670D"/>
    <w:rsid w:val="005819A1"/>
    <w:rsid w:val="00590544"/>
    <w:rsid w:val="00590584"/>
    <w:rsid w:val="005A4EB0"/>
    <w:rsid w:val="005C1F0E"/>
    <w:rsid w:val="005C3B58"/>
    <w:rsid w:val="005C43CD"/>
    <w:rsid w:val="005D1300"/>
    <w:rsid w:val="005D2055"/>
    <w:rsid w:val="005D35B0"/>
    <w:rsid w:val="005F04D7"/>
    <w:rsid w:val="00600D76"/>
    <w:rsid w:val="006455B5"/>
    <w:rsid w:val="00652E97"/>
    <w:rsid w:val="00654574"/>
    <w:rsid w:val="00661760"/>
    <w:rsid w:val="00662208"/>
    <w:rsid w:val="0068329B"/>
    <w:rsid w:val="00696E21"/>
    <w:rsid w:val="006972C0"/>
    <w:rsid w:val="006B2EA4"/>
    <w:rsid w:val="006C0FEE"/>
    <w:rsid w:val="006C2534"/>
    <w:rsid w:val="006D3324"/>
    <w:rsid w:val="006D397E"/>
    <w:rsid w:val="006F0952"/>
    <w:rsid w:val="006F6AE8"/>
    <w:rsid w:val="00707346"/>
    <w:rsid w:val="007074DF"/>
    <w:rsid w:val="00713D04"/>
    <w:rsid w:val="0073137E"/>
    <w:rsid w:val="00732193"/>
    <w:rsid w:val="0075629E"/>
    <w:rsid w:val="0076174C"/>
    <w:rsid w:val="007A7B0C"/>
    <w:rsid w:val="007C27C1"/>
    <w:rsid w:val="007C4213"/>
    <w:rsid w:val="007D1E4F"/>
    <w:rsid w:val="007D2EB6"/>
    <w:rsid w:val="007F1E2F"/>
    <w:rsid w:val="007F586F"/>
    <w:rsid w:val="00801740"/>
    <w:rsid w:val="00815495"/>
    <w:rsid w:val="00821414"/>
    <w:rsid w:val="00821FB2"/>
    <w:rsid w:val="008269DF"/>
    <w:rsid w:val="00832D3C"/>
    <w:rsid w:val="00840CCE"/>
    <w:rsid w:val="0085208F"/>
    <w:rsid w:val="00854914"/>
    <w:rsid w:val="00861C02"/>
    <w:rsid w:val="00863085"/>
    <w:rsid w:val="0086689A"/>
    <w:rsid w:val="0087239E"/>
    <w:rsid w:val="008922B7"/>
    <w:rsid w:val="00892A06"/>
    <w:rsid w:val="008A4C80"/>
    <w:rsid w:val="008A6E02"/>
    <w:rsid w:val="0091599B"/>
    <w:rsid w:val="009176AF"/>
    <w:rsid w:val="009232BC"/>
    <w:rsid w:val="00923CC2"/>
    <w:rsid w:val="009346AC"/>
    <w:rsid w:val="00950C8B"/>
    <w:rsid w:val="00980CD2"/>
    <w:rsid w:val="009902AA"/>
    <w:rsid w:val="0099703C"/>
    <w:rsid w:val="009A2E7B"/>
    <w:rsid w:val="009A40ED"/>
    <w:rsid w:val="009B0632"/>
    <w:rsid w:val="009B49B3"/>
    <w:rsid w:val="009C3DA8"/>
    <w:rsid w:val="009D33D4"/>
    <w:rsid w:val="009D4AC9"/>
    <w:rsid w:val="009E1C07"/>
    <w:rsid w:val="009F2F3B"/>
    <w:rsid w:val="00A05948"/>
    <w:rsid w:val="00A23264"/>
    <w:rsid w:val="00A3166E"/>
    <w:rsid w:val="00A37A05"/>
    <w:rsid w:val="00A4276A"/>
    <w:rsid w:val="00A43FCD"/>
    <w:rsid w:val="00A44F0D"/>
    <w:rsid w:val="00A66488"/>
    <w:rsid w:val="00A71510"/>
    <w:rsid w:val="00A72500"/>
    <w:rsid w:val="00A95790"/>
    <w:rsid w:val="00AC6B6F"/>
    <w:rsid w:val="00AF2A3F"/>
    <w:rsid w:val="00B047A3"/>
    <w:rsid w:val="00B2667F"/>
    <w:rsid w:val="00B30FD6"/>
    <w:rsid w:val="00B40E41"/>
    <w:rsid w:val="00B42B0F"/>
    <w:rsid w:val="00B61272"/>
    <w:rsid w:val="00B643E2"/>
    <w:rsid w:val="00B85BC8"/>
    <w:rsid w:val="00B86701"/>
    <w:rsid w:val="00BA5E74"/>
    <w:rsid w:val="00BB652C"/>
    <w:rsid w:val="00BD2DA9"/>
    <w:rsid w:val="00BE304A"/>
    <w:rsid w:val="00BF4C9A"/>
    <w:rsid w:val="00C009C2"/>
    <w:rsid w:val="00C21DB2"/>
    <w:rsid w:val="00C35677"/>
    <w:rsid w:val="00C50B48"/>
    <w:rsid w:val="00C5378B"/>
    <w:rsid w:val="00C624B1"/>
    <w:rsid w:val="00C71C3D"/>
    <w:rsid w:val="00C81470"/>
    <w:rsid w:val="00C833F4"/>
    <w:rsid w:val="00CD2FF2"/>
    <w:rsid w:val="00CD55BB"/>
    <w:rsid w:val="00CE4368"/>
    <w:rsid w:val="00CE73C1"/>
    <w:rsid w:val="00CE7AE8"/>
    <w:rsid w:val="00D0146B"/>
    <w:rsid w:val="00D022EB"/>
    <w:rsid w:val="00D06079"/>
    <w:rsid w:val="00D11FEC"/>
    <w:rsid w:val="00D16B61"/>
    <w:rsid w:val="00D23A74"/>
    <w:rsid w:val="00D326D5"/>
    <w:rsid w:val="00D36541"/>
    <w:rsid w:val="00D529EC"/>
    <w:rsid w:val="00D53E51"/>
    <w:rsid w:val="00D54D54"/>
    <w:rsid w:val="00D8436F"/>
    <w:rsid w:val="00D92024"/>
    <w:rsid w:val="00D93CC8"/>
    <w:rsid w:val="00D95B83"/>
    <w:rsid w:val="00DD4670"/>
    <w:rsid w:val="00DF0C44"/>
    <w:rsid w:val="00E00797"/>
    <w:rsid w:val="00E029C9"/>
    <w:rsid w:val="00E2112C"/>
    <w:rsid w:val="00E21572"/>
    <w:rsid w:val="00E343BD"/>
    <w:rsid w:val="00E6321C"/>
    <w:rsid w:val="00E64667"/>
    <w:rsid w:val="00E71C14"/>
    <w:rsid w:val="00E833EA"/>
    <w:rsid w:val="00E839CF"/>
    <w:rsid w:val="00E853DB"/>
    <w:rsid w:val="00E977F3"/>
    <w:rsid w:val="00EA4D06"/>
    <w:rsid w:val="00EA5A2C"/>
    <w:rsid w:val="00EB2857"/>
    <w:rsid w:val="00EB663D"/>
    <w:rsid w:val="00EC3289"/>
    <w:rsid w:val="00EC68B2"/>
    <w:rsid w:val="00EE44AB"/>
    <w:rsid w:val="00EE4844"/>
    <w:rsid w:val="00EE4D62"/>
    <w:rsid w:val="00EF71AF"/>
    <w:rsid w:val="00F00D8E"/>
    <w:rsid w:val="00F0138E"/>
    <w:rsid w:val="00F148B8"/>
    <w:rsid w:val="00F32126"/>
    <w:rsid w:val="00F3227C"/>
    <w:rsid w:val="00F4189E"/>
    <w:rsid w:val="00F5714E"/>
    <w:rsid w:val="00F80C1F"/>
    <w:rsid w:val="00F81A7C"/>
    <w:rsid w:val="00F929BA"/>
    <w:rsid w:val="00F9460F"/>
    <w:rsid w:val="00F97E8D"/>
    <w:rsid w:val="00FB1BB1"/>
    <w:rsid w:val="00FF2508"/>
    <w:rsid w:val="00FF53E2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&#1054;&#1073;&#1097;&#1072;&#1103;%20&#1087;&#1072;&#1087;&#1082;&#1072;\&#1040;&#1082;&#1090;&#1091;&#1072;&#1083;&#1080;&#1079;&#1072;&#1094;&#1080;&#1103;%20&#1085;&#1072;%20&#1089;&#1072;&#1081;&#1090;&#1077;\2024\&#1075;&#1086;&#1076;&#1086;&#1074;&#1099;&#1077;%20&#1080;&#1090;&#1086;&#1075;&#1080;%202023\inv-akt2023_&#1082;&#1086;&#1088;&#1088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&#1054;&#1073;&#1097;&#1072;&#1103;%20&#1087;&#1072;&#1087;&#1082;&#1072;\&#1040;&#1082;&#1090;&#1091;&#1072;&#1083;&#1080;&#1079;&#1072;&#1094;&#1080;&#1103;%20&#1085;&#1072;%20&#1089;&#1072;&#1081;&#1090;&#1077;\2024\&#1075;&#1086;&#1076;&#1086;&#1074;&#1099;&#1077;%20&#1080;&#1090;&#1086;&#1075;&#1080;%202023\inv-akt2023_&#1082;&#1086;&#1088;&#1088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&#1054;&#1073;&#1097;&#1072;&#1103;%20&#1087;&#1072;&#1087;&#1082;&#1072;\&#1040;&#1082;&#1090;&#1091;&#1072;&#1083;&#1080;&#1079;&#1072;&#1094;&#1080;&#1103;%20&#1085;&#1072;%20&#1089;&#1072;&#1081;&#1090;&#1077;\2024\&#1075;&#1086;&#1076;&#1086;&#1074;&#1099;&#1077;%20&#1080;&#1090;&#1086;&#1075;&#1080;%202023\inv-akt2023_&#1082;&#1086;&#1088;&#1088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737965950231224E-2"/>
          <c:y val="0.18460558225946222"/>
          <c:w val="0.91098653340016389"/>
          <c:h val="0.7162456593163384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007-4C8E-A87B-CF267C38D99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007-4C8E-A87B-CF267C38D99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007-4C8E-A87B-CF267C38D99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007-4C8E-A87B-CF267C38D991}"/>
              </c:ext>
            </c:extLst>
          </c:dPt>
          <c:dLbls>
            <c:dLbl>
              <c:idx val="0"/>
              <c:layout>
                <c:manualLayout>
                  <c:x val="2.6199775121837562E-3"/>
                  <c:y val="-5.3302563729865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007-4C8E-A87B-CF267C38D991}"/>
                </c:ext>
              </c:extLst>
            </c:dLbl>
            <c:dLbl>
              <c:idx val="1"/>
              <c:layout>
                <c:manualLayout>
                  <c:x val="3.4741817917829229E-3"/>
                  <c:y val="-7.7109847517566332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007-4C8E-A87B-CF267C38D991}"/>
                </c:ext>
              </c:extLst>
            </c:dLbl>
            <c:dLbl>
              <c:idx val="2"/>
              <c:layout>
                <c:manualLayout>
                  <c:x val="6.4162497309374067E-3"/>
                  <c:y val="1.29924807233000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007-4C8E-A87B-CF267C38D991}"/>
                </c:ext>
              </c:extLst>
            </c:dLbl>
            <c:dLbl>
              <c:idx val="3"/>
              <c:layout>
                <c:manualLayout>
                  <c:x val="-9.4195367708137787E-4"/>
                  <c:y val="-1.09554050859727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007-4C8E-A87B-CF267C38D991}"/>
                </c:ext>
              </c:extLst>
            </c:dLbl>
            <c:dLbl>
              <c:idx val="4"/>
              <c:layout>
                <c:manualLayout>
                  <c:x val="1.7864673534032649E-3"/>
                  <c:y val="-1.95341487597781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07-4C8E-A87B-CF267C38D991}"/>
                </c:ext>
              </c:extLst>
            </c:dLbl>
            <c:dLbl>
              <c:idx val="5"/>
              <c:layout>
                <c:manualLayout>
                  <c:x val="4.1874645185857595E-4"/>
                  <c:y val="-1.2813817422113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07-4C8E-A87B-CF267C38D991}"/>
                </c:ext>
              </c:extLst>
            </c:dLbl>
            <c:dLbl>
              <c:idx val="6"/>
              <c:layout>
                <c:manualLayout>
                  <c:x val="8.5205411959415889E-3"/>
                  <c:y val="-1.1469562061528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07-4C8E-A87B-CF267C38D991}"/>
                </c:ext>
              </c:extLst>
            </c:dLbl>
            <c:dLbl>
              <c:idx val="7"/>
              <c:layout>
                <c:manualLayout>
                  <c:x val="7.1528274874730641E-3"/>
                  <c:y val="-1.41579883159766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07-4C8E-A87B-CF267C38D991}"/>
                </c:ext>
              </c:extLst>
            </c:dLbl>
            <c:dLbl>
              <c:idx val="8"/>
              <c:layout>
                <c:manualLayout>
                  <c:x val="3.8909576571888871E-3"/>
                  <c:y val="-1.48300099531469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07-4C8E-A87B-CF267C38D991}"/>
                </c:ext>
              </c:extLst>
            </c:dLbl>
            <c:dLbl>
              <c:idx val="9"/>
              <c:layout>
                <c:manualLayout>
                  <c:x val="4.416980813744531E-3"/>
                  <c:y val="-7.169444587029061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07-4C8E-A87B-CF267C38D991}"/>
                </c:ext>
              </c:extLst>
            </c:dLbl>
            <c:dLbl>
              <c:idx val="10"/>
              <c:layout>
                <c:manualLayout>
                  <c:x val="1.1553170153180137E-3"/>
                  <c:y val="-2.02063681530119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07-4C8E-A87B-CF267C38D991}"/>
                </c:ext>
              </c:extLst>
            </c:dLbl>
            <c:dLbl>
              <c:idx val="11"/>
              <c:layout>
                <c:manualLayout>
                  <c:x val="7.3631688625190872E-3"/>
                  <c:y val="-4.4957889803354245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007-4C8E-A87B-CF267C38D991}"/>
                </c:ext>
              </c:extLst>
            </c:dLbl>
            <c:dLbl>
              <c:idx val="12"/>
              <c:layout>
                <c:manualLayout>
                  <c:x val="5.9954479609745093E-3"/>
                  <c:y val="-1.88621621908786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07-4C8E-A87B-CF267C38D991}"/>
                </c:ext>
              </c:extLst>
            </c:dLbl>
            <c:dLbl>
              <c:idx val="13"/>
              <c:layout>
                <c:manualLayout>
                  <c:x val="4.6275282206483803E-3"/>
                  <c:y val="-1.07976248910809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07-4C8E-A87B-CF267C38D991}"/>
                </c:ext>
              </c:extLst>
            </c:dLbl>
            <c:dLbl>
              <c:idx val="14"/>
              <c:layout>
                <c:manualLayout>
                  <c:x val="3.2596084803221403E-3"/>
                  <c:y val="-6.0932532601155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07-4C8E-A87B-CF267C38D991}"/>
                </c:ext>
              </c:extLst>
            </c:dLbl>
            <c:dLbl>
              <c:idx val="15"/>
              <c:layout>
                <c:manualLayout>
                  <c:x val="3.7856915612820199E-3"/>
                  <c:y val="-2.28944769000649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007-4C8E-A87B-CF267C38D991}"/>
                </c:ext>
              </c:extLst>
            </c:dLbl>
            <c:dLbl>
              <c:idx val="16"/>
              <c:layout>
                <c:manualLayout>
                  <c:x val="5.2396783845132244E-4"/>
                  <c:y val="-2.2222278461258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07-4C8E-A87B-CF267C38D991}"/>
                </c:ext>
              </c:extLst>
            </c:dLbl>
            <c:dLbl>
              <c:idx val="17"/>
              <c:layout>
                <c:manualLayout>
                  <c:x val="-8.4375306309336651E-4"/>
                  <c:y val="-2.62546635233241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007-4C8E-A87B-CF267C38D991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'3'!$B$3:$B$6</c:f>
              <c:numCache>
                <c:formatCode>General</c:formatCode>
                <c:ptCount val="4"/>
                <c:pt idx="0">
                  <c:v>92</c:v>
                </c:pt>
                <c:pt idx="1">
                  <c:v>93</c:v>
                </c:pt>
                <c:pt idx="2">
                  <c:v>88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0007-4C8E-A87B-CF267C38D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200782336"/>
        <c:axId val="60848320"/>
      </c:barChart>
      <c:catAx>
        <c:axId val="20078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6084832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0848320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0782336"/>
        <c:crosses val="autoZero"/>
        <c:crossBetween val="between"/>
        <c:majorUnit val="10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организаций по оценке факторов, ограничивающих инвестиционную деятельность </a:t>
            </a:r>
          </a:p>
          <a:p>
            <a:pPr algn="ctr"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 baseline="0">
                <a:effectLst/>
                <a:latin typeface="Times New Roman" pitchFamily="18" charset="0"/>
                <a:cs typeface="Times New Roman" pitchFamily="18" charset="0"/>
              </a:rPr>
              <a:t>(по итогам выборочного обследования инвестиционной активности промышленных организаций,</a:t>
            </a:r>
            <a:endParaRPr lang="ru-RU" sz="800">
              <a:effectLst/>
              <a:latin typeface="Times New Roman" pitchFamily="18" charset="0"/>
              <a:cs typeface="Times New Roman" pitchFamily="18" charset="0"/>
            </a:endParaRPr>
          </a:p>
          <a:p>
            <a:pPr algn="ctr"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0" baseline="0">
                <a:effectLst/>
                <a:latin typeface="Times New Roman" pitchFamily="18" charset="0"/>
                <a:cs typeface="Times New Roman" pitchFamily="18" charset="0"/>
              </a:rPr>
              <a:t>в процентах к общему числу организаций) </a:t>
            </a:r>
            <a:endParaRPr lang="ru-RU" sz="8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'2'!$B$4</c:f>
              <c:strCache>
                <c:ptCount val="1"/>
                <c:pt idx="0">
                  <c:v>2022г.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'2'!$A$5:$A$17</c:f>
              <c:strCache>
                <c:ptCount val="13"/>
                <c:pt idx="0">
                  <c:v>Недостаточный спрос на продукцию</c:v>
                </c:pt>
                <c:pt idx="1">
                  <c:v>Состояние технической базы организации</c:v>
                </c:pt>
                <c:pt idx="2">
                  <c:v>Несовершенная нормативно-правовая база,регулирующая  инвестиционные процессы</c:v>
                </c:pt>
                <c:pt idx="3">
                  <c:v>Существующий режим налогообложения инвестиционной деятельности</c:v>
                </c:pt>
                <c:pt idx="4">
                  <c:v>Колебания цен на мировом рынке энергоносителей</c:v>
                </c:pt>
                <c:pt idx="5">
                  <c:v>Экономическая ситуация на мировом рынке</c:v>
                </c:pt>
                <c:pt idx="6">
                  <c:v>Сложный механизм получения кредитов для реализации инвестиционных проектов</c:v>
                </c:pt>
                <c:pt idx="7">
                  <c:v>Параметры курсовой политики в стране</c:v>
                </c:pt>
                <c:pt idx="8">
                  <c:v>Высокий процент коммерческого кредита</c:v>
                </c:pt>
                <c:pt idx="9">
                  <c:v>Инвестиционные риски</c:v>
                </c:pt>
                <c:pt idx="10">
                  <c:v>Недостаток собственных финансовых средств</c:v>
                </c:pt>
                <c:pt idx="11">
                  <c:v>Высокий уровень инфляции в стране</c:v>
                </c:pt>
                <c:pt idx="12">
                  <c:v>Неопределенность экономической ситуации в стране</c:v>
                </c:pt>
              </c:strCache>
            </c:strRef>
          </c:cat>
          <c:val>
            <c:numRef>
              <c:f>'2'!$B$5:$B$17</c:f>
              <c:numCache>
                <c:formatCode>General</c:formatCode>
                <c:ptCount val="13"/>
                <c:pt idx="0">
                  <c:v>21</c:v>
                </c:pt>
                <c:pt idx="1">
                  <c:v>26</c:v>
                </c:pt>
                <c:pt idx="2">
                  <c:v>36</c:v>
                </c:pt>
                <c:pt idx="3">
                  <c:v>34</c:v>
                </c:pt>
                <c:pt idx="4">
                  <c:v>45</c:v>
                </c:pt>
                <c:pt idx="5">
                  <c:v>60</c:v>
                </c:pt>
                <c:pt idx="6">
                  <c:v>50</c:v>
                </c:pt>
                <c:pt idx="7">
                  <c:v>53</c:v>
                </c:pt>
                <c:pt idx="8">
                  <c:v>62</c:v>
                </c:pt>
                <c:pt idx="9">
                  <c:v>65</c:v>
                </c:pt>
                <c:pt idx="10">
                  <c:v>63</c:v>
                </c:pt>
                <c:pt idx="11">
                  <c:v>71</c:v>
                </c:pt>
                <c:pt idx="12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36-4D89-92E6-BBA2013DACD2}"/>
            </c:ext>
          </c:extLst>
        </c:ser>
        <c:ser>
          <c:idx val="1"/>
          <c:order val="1"/>
          <c:tx>
            <c:strRef>
              <c:f>'2'!$C$4</c:f>
              <c:strCache>
                <c:ptCount val="1"/>
                <c:pt idx="0">
                  <c:v>2023г.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'2'!$A$5:$A$17</c:f>
              <c:strCache>
                <c:ptCount val="13"/>
                <c:pt idx="0">
                  <c:v>Недостаточный спрос на продукцию</c:v>
                </c:pt>
                <c:pt idx="1">
                  <c:v>Состояние технической базы организации</c:v>
                </c:pt>
                <c:pt idx="2">
                  <c:v>Несовершенная нормативно-правовая база,регулирующая  инвестиционные процессы</c:v>
                </c:pt>
                <c:pt idx="3">
                  <c:v>Существующий режим налогообложения инвестиционной деятельности</c:v>
                </c:pt>
                <c:pt idx="4">
                  <c:v>Колебания цен на мировом рынке энергоносителей</c:v>
                </c:pt>
                <c:pt idx="5">
                  <c:v>Экономическая ситуация на мировом рынке</c:v>
                </c:pt>
                <c:pt idx="6">
                  <c:v>Сложный механизм получения кредитов для реализации инвестиционных проектов</c:v>
                </c:pt>
                <c:pt idx="7">
                  <c:v>Параметры курсовой политики в стране</c:v>
                </c:pt>
                <c:pt idx="8">
                  <c:v>Высокий процент коммерческого кредита</c:v>
                </c:pt>
                <c:pt idx="9">
                  <c:v>Инвестиционные риски</c:v>
                </c:pt>
                <c:pt idx="10">
                  <c:v>Недостаток собственных финансовых средств</c:v>
                </c:pt>
                <c:pt idx="11">
                  <c:v>Высокий уровень инфляции в стране</c:v>
                </c:pt>
                <c:pt idx="12">
                  <c:v>Неопределенность экономической ситуации в стране</c:v>
                </c:pt>
              </c:strCache>
            </c:strRef>
          </c:cat>
          <c:val>
            <c:numRef>
              <c:f>'2'!$C$5:$C$17</c:f>
              <c:numCache>
                <c:formatCode>General</c:formatCode>
                <c:ptCount val="13"/>
                <c:pt idx="0">
                  <c:v>20</c:v>
                </c:pt>
                <c:pt idx="1">
                  <c:v>30</c:v>
                </c:pt>
                <c:pt idx="2">
                  <c:v>36</c:v>
                </c:pt>
                <c:pt idx="3">
                  <c:v>36</c:v>
                </c:pt>
                <c:pt idx="4">
                  <c:v>49</c:v>
                </c:pt>
                <c:pt idx="5">
                  <c:v>58</c:v>
                </c:pt>
                <c:pt idx="6">
                  <c:v>49</c:v>
                </c:pt>
                <c:pt idx="7">
                  <c:v>60</c:v>
                </c:pt>
                <c:pt idx="8">
                  <c:v>61</c:v>
                </c:pt>
                <c:pt idx="9">
                  <c:v>60</c:v>
                </c:pt>
                <c:pt idx="10">
                  <c:v>57</c:v>
                </c:pt>
                <c:pt idx="11">
                  <c:v>72</c:v>
                </c:pt>
                <c:pt idx="1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36-4D89-92E6-BBA2013DACD2}"/>
            </c:ext>
          </c:extLst>
        </c:ser>
        <c:ser>
          <c:idx val="2"/>
          <c:order val="2"/>
          <c:tx>
            <c:strRef>
              <c:f>'2'!$D$4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'2'!$A$5:$A$17</c:f>
              <c:strCache>
                <c:ptCount val="13"/>
                <c:pt idx="0">
                  <c:v>Недостаточный спрос на продукцию</c:v>
                </c:pt>
                <c:pt idx="1">
                  <c:v>Состояние технической базы организации</c:v>
                </c:pt>
                <c:pt idx="2">
                  <c:v>Несовершенная нормативно-правовая база,регулирующая  инвестиционные процессы</c:v>
                </c:pt>
                <c:pt idx="3">
                  <c:v>Существующий режим налогообложения инвестиционной деятельности</c:v>
                </c:pt>
                <c:pt idx="4">
                  <c:v>Колебания цен на мировом рынке энергоносителей</c:v>
                </c:pt>
                <c:pt idx="5">
                  <c:v>Экономическая ситуация на мировом рынке</c:v>
                </c:pt>
                <c:pt idx="6">
                  <c:v>Сложный механизм получения кредитов для реализации инвестиционных проектов</c:v>
                </c:pt>
                <c:pt idx="7">
                  <c:v>Параметры курсовой политики в стране</c:v>
                </c:pt>
                <c:pt idx="8">
                  <c:v>Высокий процент коммерческого кредита</c:v>
                </c:pt>
                <c:pt idx="9">
                  <c:v>Инвестиционные риски</c:v>
                </c:pt>
                <c:pt idx="10">
                  <c:v>Недостаток собственных финансовых средств</c:v>
                </c:pt>
                <c:pt idx="11">
                  <c:v>Высокий уровень инфляции в стране</c:v>
                </c:pt>
                <c:pt idx="12">
                  <c:v>Неопределенность экономической ситуации в стране</c:v>
                </c:pt>
              </c:strCache>
            </c:strRef>
          </c:cat>
          <c:val>
            <c:numRef>
              <c:f>'2'!$D$5:$D$17</c:f>
              <c:numCache>
                <c:formatCode>General</c:formatCode>
                <c:ptCount val="13"/>
                <c:pt idx="0">
                  <c:v>17</c:v>
                </c:pt>
                <c:pt idx="1">
                  <c:v>27</c:v>
                </c:pt>
                <c:pt idx="2">
                  <c:v>37</c:v>
                </c:pt>
                <c:pt idx="3">
                  <c:v>36</c:v>
                </c:pt>
                <c:pt idx="4">
                  <c:v>49</c:v>
                </c:pt>
                <c:pt idx="5">
                  <c:v>61</c:v>
                </c:pt>
                <c:pt idx="6">
                  <c:v>51</c:v>
                </c:pt>
                <c:pt idx="7">
                  <c:v>59</c:v>
                </c:pt>
                <c:pt idx="8">
                  <c:v>66</c:v>
                </c:pt>
                <c:pt idx="9">
                  <c:v>65</c:v>
                </c:pt>
                <c:pt idx="10">
                  <c:v>59</c:v>
                </c:pt>
                <c:pt idx="11">
                  <c:v>76</c:v>
                </c:pt>
                <c:pt idx="1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36-4D89-92E6-BBA2013DA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511424"/>
        <c:axId val="184431104"/>
      </c:barChart>
      <c:catAx>
        <c:axId val="185511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anchor="ctr" anchorCtr="0"/>
          <a:lstStyle/>
          <a:p>
            <a:pPr>
              <a:defRPr sz="12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431104"/>
        <c:crosses val="autoZero"/>
        <c:auto val="1"/>
        <c:lblAlgn val="r"/>
        <c:lblOffset val="100"/>
        <c:noMultiLvlLbl val="0"/>
      </c:catAx>
      <c:valAx>
        <c:axId val="18443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511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5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Распределение организаций по оценке целей инвестирования в основной капитал</a:t>
            </a:r>
            <a:endParaRPr lang="ru-RU" sz="1500" b="0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  <a:p>
            <a:pPr>
              <a:defRPr sz="1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(по данным обследований инвестиционной активности  организаций)</a:t>
            </a:r>
          </a:p>
        </c:rich>
      </c:tx>
      <c:layout>
        <c:manualLayout>
          <c:xMode val="edge"/>
          <c:yMode val="edge"/>
          <c:x val="0.12183940582217774"/>
          <c:y val="4.391663698773134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9485598726388708"/>
          <c:y val="0.19624217118997914"/>
          <c:w val="0.48791951751640383"/>
          <c:h val="0.72520587155685068"/>
        </c:manualLayout>
      </c:layout>
      <c:barChart>
        <c:barDir val="bar"/>
        <c:grouping val="clustered"/>
        <c:varyColors val="0"/>
        <c:ser>
          <c:idx val="1"/>
          <c:order val="0"/>
          <c:tx>
            <c:v>2022г.</c:v>
          </c:tx>
          <c:spPr>
            <a:solidFill>
              <a:srgbClr val="9BBB59">
                <a:lumMod val="60000"/>
                <a:lumOff val="40000"/>
              </a:srgb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'1'!$A$3:$A$11</c:f>
              <c:strCache>
                <c:ptCount val="9"/>
                <c:pt idx="0">
                  <c:v>Создание новых рабочих мест</c:v>
                </c:pt>
                <c:pt idx="1">
                  <c:v>Увеличение производственнной мощности с расширением номенклатуры продукции</c:v>
                </c:pt>
                <c:pt idx="2">
                  <c:v>Охрана окружающей среды</c:v>
                </c:pt>
                <c:pt idx="3">
                  <c:v>Внедрение новых производственных технологий</c:v>
                </c:pt>
                <c:pt idx="4">
                  <c:v>Увеличение производственнной мощности с неизменной номенклатурой продукции</c:v>
                </c:pt>
                <c:pt idx="5">
                  <c:v>Снижение себестоимости продукции</c:v>
                </c:pt>
                <c:pt idx="6">
                  <c:v>Экономия энергоресурсов</c:v>
                </c:pt>
                <c:pt idx="7">
                  <c:v>Автоматизация или механизация существующего производственного процесса</c:v>
                </c:pt>
                <c:pt idx="8">
                  <c:v>Замена изношенной техники и оборудования</c:v>
                </c:pt>
              </c:strCache>
            </c:strRef>
          </c:cat>
          <c:val>
            <c:numRef>
              <c:f>'1'!$B$3:$B$11</c:f>
              <c:numCache>
                <c:formatCode>General</c:formatCode>
                <c:ptCount val="9"/>
                <c:pt idx="0">
                  <c:v>23</c:v>
                </c:pt>
                <c:pt idx="1">
                  <c:v>26</c:v>
                </c:pt>
                <c:pt idx="2">
                  <c:v>31</c:v>
                </c:pt>
                <c:pt idx="3">
                  <c:v>35</c:v>
                </c:pt>
                <c:pt idx="4">
                  <c:v>38</c:v>
                </c:pt>
                <c:pt idx="5">
                  <c:v>38</c:v>
                </c:pt>
                <c:pt idx="6">
                  <c:v>40</c:v>
                </c:pt>
                <c:pt idx="7">
                  <c:v>55</c:v>
                </c:pt>
                <c:pt idx="8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73-4531-8139-70A92CD42F09}"/>
            </c:ext>
          </c:extLst>
        </c:ser>
        <c:ser>
          <c:idx val="2"/>
          <c:order val="1"/>
          <c:tx>
            <c:v>2023г</c:v>
          </c:tx>
          <c:spPr>
            <a:solidFill>
              <a:srgbClr val="C0504D">
                <a:lumMod val="60000"/>
                <a:lumOff val="40000"/>
              </a:srgb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'1'!$A$3:$A$11</c:f>
              <c:strCache>
                <c:ptCount val="9"/>
                <c:pt idx="0">
                  <c:v>Создание новых рабочих мест</c:v>
                </c:pt>
                <c:pt idx="1">
                  <c:v>Увеличение производственнной мощности с расширением номенклатуры продукции</c:v>
                </c:pt>
                <c:pt idx="2">
                  <c:v>Охрана окружающей среды</c:v>
                </c:pt>
                <c:pt idx="3">
                  <c:v>Внедрение новых производственных технологий</c:v>
                </c:pt>
                <c:pt idx="4">
                  <c:v>Увеличение производственнной мощности с неизменной номенклатурой продукции</c:v>
                </c:pt>
                <c:pt idx="5">
                  <c:v>Снижение себестоимости продукции</c:v>
                </c:pt>
                <c:pt idx="6">
                  <c:v>Экономия энергоресурсов</c:v>
                </c:pt>
                <c:pt idx="7">
                  <c:v>Автоматизация или механизация существующего производственного процесса</c:v>
                </c:pt>
                <c:pt idx="8">
                  <c:v>Замена изношенной техники и оборудования</c:v>
                </c:pt>
              </c:strCache>
            </c:strRef>
          </c:cat>
          <c:val>
            <c:numRef>
              <c:f>'1'!$C$3:$C$11</c:f>
              <c:numCache>
                <c:formatCode>General</c:formatCode>
                <c:ptCount val="9"/>
                <c:pt idx="0">
                  <c:v>21</c:v>
                </c:pt>
                <c:pt idx="1">
                  <c:v>27</c:v>
                </c:pt>
                <c:pt idx="2">
                  <c:v>22</c:v>
                </c:pt>
                <c:pt idx="3">
                  <c:v>24</c:v>
                </c:pt>
                <c:pt idx="4">
                  <c:v>30</c:v>
                </c:pt>
                <c:pt idx="5">
                  <c:v>30</c:v>
                </c:pt>
                <c:pt idx="6">
                  <c:v>27</c:v>
                </c:pt>
                <c:pt idx="7">
                  <c:v>43</c:v>
                </c:pt>
                <c:pt idx="8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73-4531-8139-70A92CD42F09}"/>
            </c:ext>
          </c:extLst>
        </c:ser>
        <c:ser>
          <c:idx val="0"/>
          <c:order val="2"/>
          <c:tx>
            <c:v>2024г.</c:v>
          </c:tx>
          <c:spPr>
            <a:solidFill>
              <a:srgbClr val="8064A2">
                <a:lumMod val="60000"/>
                <a:lumOff val="40000"/>
              </a:srgb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'1'!$A$3:$A$11</c:f>
              <c:strCache>
                <c:ptCount val="9"/>
                <c:pt idx="0">
                  <c:v>Создание новых рабочих мест</c:v>
                </c:pt>
                <c:pt idx="1">
                  <c:v>Увеличение производственнной мощности с расширением номенклатуры продукции</c:v>
                </c:pt>
                <c:pt idx="2">
                  <c:v>Охрана окружающей среды</c:v>
                </c:pt>
                <c:pt idx="3">
                  <c:v>Внедрение новых производственных технологий</c:v>
                </c:pt>
                <c:pt idx="4">
                  <c:v>Увеличение производственнной мощности с неизменной номенклатурой продукции</c:v>
                </c:pt>
                <c:pt idx="5">
                  <c:v>Снижение себестоимости продукции</c:v>
                </c:pt>
                <c:pt idx="6">
                  <c:v>Экономия энергоресурсов</c:v>
                </c:pt>
                <c:pt idx="7">
                  <c:v>Автоматизация или механизация существующего производственного процесса</c:v>
                </c:pt>
                <c:pt idx="8">
                  <c:v>Замена изношенной техники и оборудования</c:v>
                </c:pt>
              </c:strCache>
            </c:strRef>
          </c:cat>
          <c:val>
            <c:numRef>
              <c:f>'1'!$D$3:$D$11</c:f>
              <c:numCache>
                <c:formatCode>General</c:formatCode>
                <c:ptCount val="9"/>
                <c:pt idx="0">
                  <c:v>24</c:v>
                </c:pt>
                <c:pt idx="1">
                  <c:v>26</c:v>
                </c:pt>
                <c:pt idx="2">
                  <c:v>29</c:v>
                </c:pt>
                <c:pt idx="3">
                  <c:v>32</c:v>
                </c:pt>
                <c:pt idx="4">
                  <c:v>38</c:v>
                </c:pt>
                <c:pt idx="5">
                  <c:v>34</c:v>
                </c:pt>
                <c:pt idx="6">
                  <c:v>35</c:v>
                </c:pt>
                <c:pt idx="7">
                  <c:v>53</c:v>
                </c:pt>
                <c:pt idx="8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73-4531-8139-70A92CD42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356864"/>
        <c:axId val="218583552"/>
      </c:barChart>
      <c:catAx>
        <c:axId val="200356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858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583552"/>
        <c:scaling>
          <c:orientation val="minMax"/>
          <c:max val="8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0356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105670867449273"/>
          <c:y val="0.95615864220453861"/>
          <c:w val="0.37736579652899288"/>
          <c:h val="3.780082152480027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8684249995066403"/>
          <c:y val="3.367875647668394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01513610742368"/>
          <c:y val="0.29919509525026111"/>
          <c:w val="0.69172995819317418"/>
          <c:h val="0.52849740932642486"/>
        </c:manualLayout>
      </c:layout>
      <c:pie3DChart>
        <c:varyColors val="1"/>
        <c:ser>
          <c:idx val="0"/>
          <c:order val="0"/>
          <c:tx>
            <c:strRef>
              <c:f>'4'!$C$4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FED-4D5C-B723-096844635B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FED-4D5C-B723-096844635B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FED-4D5C-B723-096844635B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FED-4D5C-B723-096844635B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FED-4D5C-B723-096844635BB0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FED-4D5C-B723-096844635BB0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FED-4D5C-B723-096844635BB0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FED-4D5C-B723-096844635BB0}"/>
              </c:ext>
            </c:extLst>
          </c:dPt>
          <c:dLbls>
            <c:dLbl>
              <c:idx val="0"/>
              <c:layout>
                <c:manualLayout>
                  <c:x val="1.1979472098982535E-2"/>
                  <c:y val="-3.462173445935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ED-4D5C-B723-096844635BB0}"/>
                </c:ext>
              </c:extLst>
            </c:dLbl>
            <c:dLbl>
              <c:idx val="1"/>
              <c:layout>
                <c:manualLayout>
                  <c:x val="2.1544446060567379E-3"/>
                  <c:y val="-3.872356628996503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ED-4D5C-B723-096844635BB0}"/>
                </c:ext>
              </c:extLst>
            </c:dLbl>
            <c:dLbl>
              <c:idx val="2"/>
              <c:layout>
                <c:manualLayout>
                  <c:x val="1.7537854688618414E-2"/>
                  <c:y val="-1.60948640342110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ED-4D5C-B723-096844635BB0}"/>
                </c:ext>
              </c:extLst>
            </c:dLbl>
            <c:dLbl>
              <c:idx val="3"/>
              <c:layout>
                <c:manualLayout>
                  <c:x val="-3.5087521743880204E-2"/>
                  <c:y val="-7.92821547402186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ED-4D5C-B723-096844635BB0}"/>
                </c:ext>
              </c:extLst>
            </c:dLbl>
            <c:dLbl>
              <c:idx val="4"/>
              <c:layout>
                <c:manualLayout>
                  <c:x val="1.0645635632947653E-2"/>
                  <c:y val="1.68775923734921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ED-4D5C-B723-096844635BB0}"/>
                </c:ext>
              </c:extLst>
            </c:dLbl>
            <c:dLbl>
              <c:idx val="5"/>
              <c:layout>
                <c:manualLayout>
                  <c:x val="7.8349116885473302E-3"/>
                  <c:y val="-3.86536657011137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ED-4D5C-B723-096844635BB0}"/>
                </c:ext>
              </c:extLst>
            </c:dLbl>
            <c:dLbl>
              <c:idx val="6"/>
              <c:layout>
                <c:manualLayout>
                  <c:x val="5.0615995787069989E-3"/>
                  <c:y val="-2.56070063780887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ED-4D5C-B723-096844635B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'4'!$A$5:$B$12</c:f>
              <c:strCache>
                <c:ptCount val="8"/>
                <c:pt idx="0">
                  <c:v> до 3 лет</c:v>
                </c:pt>
                <c:pt idx="1">
                  <c:v>свыше 3 до 5 лет</c:v>
                </c:pt>
                <c:pt idx="2">
                  <c:v>свыше 5 до 10 лет</c:v>
                </c:pt>
                <c:pt idx="3">
                  <c:v>свыше 10 до 15 лет</c:v>
                </c:pt>
                <c:pt idx="4">
                  <c:v>свыше 15 до 20 лет</c:v>
                </c:pt>
                <c:pt idx="5">
                  <c:v>свыше 20 до 30 лет</c:v>
                </c:pt>
                <c:pt idx="6">
                  <c:v>свыше 30 лет</c:v>
                </c:pt>
                <c:pt idx="7">
                  <c:v> нет ответа</c:v>
                </c:pt>
              </c:strCache>
            </c:strRef>
          </c:cat>
          <c:val>
            <c:numRef>
              <c:f>'4'!$C$5:$C$12</c:f>
              <c:numCache>
                <c:formatCode>General</c:formatCode>
                <c:ptCount val="8"/>
                <c:pt idx="0">
                  <c:v>4</c:v>
                </c:pt>
                <c:pt idx="1">
                  <c:v>16</c:v>
                </c:pt>
                <c:pt idx="2">
                  <c:v>34</c:v>
                </c:pt>
                <c:pt idx="3">
                  <c:v>20</c:v>
                </c:pt>
                <c:pt idx="4">
                  <c:v>10</c:v>
                </c:pt>
                <c:pt idx="5">
                  <c:v>6</c:v>
                </c:pt>
                <c:pt idx="6">
                  <c:v>2</c:v>
                </c:pt>
                <c:pt idx="7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FED-4D5C-B723-096844635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8195460853747287E-2"/>
          <c:y val="0.88341967205664862"/>
          <c:w val="0.94736921042764388"/>
          <c:h val="0.103626943005181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0.49877</cdr:x>
      <cdr:y>0.49854</cdr:y>
    </cdr:from>
    <cdr:to>
      <cdr:x>0.51423</cdr:x>
      <cdr:y>0.53893</cdr:y>
    </cdr:to>
    <cdr:sp macro="" textlink="">
      <cdr:nvSpPr>
        <cdr:cNvPr id="1229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16358" y="1774401"/>
          <a:ext cx="77860" cy="1434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7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</cdr:txBody>
    </cdr:sp>
  </cdr:relSizeAnchor>
  <cdr:relSizeAnchor xmlns:cdr="http://schemas.openxmlformats.org/drawingml/2006/chartDrawing">
    <cdr:from>
      <cdr:x>0.00945</cdr:x>
      <cdr:y>0.02168</cdr:y>
    </cdr:from>
    <cdr:to>
      <cdr:x>0.99055</cdr:x>
      <cdr:y>0.157</cdr:y>
    </cdr:to>
    <cdr:sp macro="" textlink="">
      <cdr:nvSpPr>
        <cdr:cNvPr id="1229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7859" y="131532"/>
          <a:ext cx="9121510" cy="8209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spc="-50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Распределение организаций отдельных видов экономической деятельности, оценивших экономическую ситуацию в организации как "благоприятную" и "удовлетворительную" в 2024  году</a:t>
          </a:r>
          <a:endParaRPr lang="ru-RU" sz="1200" b="0" i="0" u="none" strike="noStrike" spc="-50" baseline="0">
            <a:solidFill>
              <a:srgbClr val="00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 rtl="0"/>
          <a:r>
            <a:rPr lang="ru-RU" sz="1200" b="0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(в % к общему числу организаций) </a:t>
          </a:r>
          <a:endParaRPr lang="ru-RU" sz="12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0.52403</cdr:x>
      <cdr:y>0.14735</cdr:y>
    </cdr:from>
    <cdr:to>
      <cdr:x>0.77575</cdr:x>
      <cdr:y>0.22691</cdr:y>
    </cdr:to>
    <cdr:sp macro="" textlink="">
      <cdr:nvSpPr>
        <cdr:cNvPr id="5" name="Прямоугольная выноска 4"/>
        <cdr:cNvSpPr/>
      </cdr:nvSpPr>
      <cdr:spPr bwMode="auto">
        <a:xfrm xmlns:a="http://schemas.openxmlformats.org/drawingml/2006/main">
          <a:off x="4836629" y="698940"/>
          <a:ext cx="2323307" cy="377385"/>
        </a:xfrm>
        <a:prstGeom xmlns:a="http://schemas.openxmlformats.org/drawingml/2006/main" prst="wedgeRectCallout">
          <a:avLst>
            <a:gd name="adj1" fmla="val 39097"/>
            <a:gd name="adj2" fmla="val 122411"/>
          </a:avLst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 w="9525" cap="flat" cmpd="sng" algn="ctr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  <a:extLst xmlns:a="http://schemas.openxmlformats.org/drawingml/2006/main"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Виды деятельности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B,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C, D, E 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                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всего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- 91</a:t>
          </a:r>
        </a:p>
      </cdr:txBody>
    </cdr:sp>
  </cdr:relSizeAnchor>
  <cdr:relSizeAnchor xmlns:cdr="http://schemas.openxmlformats.org/drawingml/2006/chartDrawing">
    <cdr:from>
      <cdr:x>0.49877</cdr:x>
      <cdr:y>0.49854</cdr:y>
    </cdr:from>
    <cdr:to>
      <cdr:x>0.51423</cdr:x>
      <cdr:y>0.53893</cdr:y>
    </cdr:to>
    <cdr:sp macro="" textlink="">
      <cdr:nvSpPr>
        <cdr:cNvPr id="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16358" y="1774401"/>
          <a:ext cx="77860" cy="1434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7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0.02287</cdr:x>
      <cdr:y>0.01292</cdr:y>
    </cdr:from>
    <cdr:to>
      <cdr:x>0.97443</cdr:x>
      <cdr:y>0.20841</cdr:y>
    </cdr:to>
    <cdr:sp macro="" textlink="">
      <cdr:nvSpPr>
        <cdr:cNvPr id="1638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4113" y="64361"/>
          <a:ext cx="8492602" cy="97386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0" rIns="0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Распределение организаций по оценке возраста </a:t>
          </a:r>
        </a:p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основной части машин и оборудования </a:t>
          </a:r>
        </a:p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в 2024 году</a:t>
          </a:r>
        </a:p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(по итогам выборочного обследования инвестиционной активности промышленных организаций,</a:t>
          </a:r>
        </a:p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Times New Roman" pitchFamily="18" charset="0"/>
              <a:cs typeface="Times New Roman" pitchFamily="18" charset="0"/>
            </a:rPr>
            <a:t>в процентах к общему числу организаций) </a:t>
          </a:r>
        </a:p>
        <a:p xmlns:a="http://schemas.openxmlformats.org/drawingml/2006/main">
          <a:pPr algn="ctr" rtl="0">
            <a:defRPr sz="1000"/>
          </a:pPr>
          <a:endParaRPr lang="ru-RU" sz="1050" b="0" i="0" u="none" strike="noStrike" baseline="0">
            <a:solidFill>
              <a:srgbClr val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AA70-4CC3-4A12-AC91-04F06B0D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Т.А.</dc:creator>
  <cp:lastModifiedBy>Боброва Татьяна Александровна</cp:lastModifiedBy>
  <cp:revision>3</cp:revision>
  <cp:lastPrinted>2021-12-29T08:16:00Z</cp:lastPrinted>
  <dcterms:created xsi:type="dcterms:W3CDTF">2024-12-27T13:43:00Z</dcterms:created>
  <dcterms:modified xsi:type="dcterms:W3CDTF">2024-12-27T13:45:00Z</dcterms:modified>
</cp:coreProperties>
</file>