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4" w:rsidRPr="00D51628" w:rsidRDefault="00725804" w:rsidP="00725804">
      <w:pPr>
        <w:pageBreakBefore/>
        <w:spacing w:after="60"/>
        <w:ind w:left="397" w:hanging="397"/>
      </w:pPr>
      <w:r w:rsidRPr="00D51628">
        <w:rPr>
          <w:b/>
          <w:bCs/>
          <w:sz w:val="16"/>
          <w:szCs w:val="16"/>
        </w:rPr>
        <w:t xml:space="preserve">КОЭФФИЦИЕНТЫ РОЖДАЕМОСТИ, СМЕРТНОСТИ И ЕСТЕСТВЕННОГО ПРИРОСТА НАСЕЛЕНИЯ </w:t>
      </w:r>
      <w:r w:rsidRPr="00D51628">
        <w:rPr>
          <w:b/>
          <w:bCs/>
          <w:sz w:val="16"/>
          <w:szCs w:val="16"/>
        </w:rPr>
        <w:br/>
      </w:r>
      <w:r w:rsidRPr="00D51628">
        <w:t>на 1000 человек населения</w:t>
      </w:r>
    </w:p>
    <w:p w:rsidR="00725804" w:rsidRPr="00F910E4" w:rsidRDefault="00725804" w:rsidP="00725804">
      <w:pPr>
        <w:spacing w:after="60"/>
        <w:ind w:left="397"/>
        <w:rPr>
          <w:lang w:val="en-US"/>
        </w:rPr>
      </w:pPr>
      <w:r w:rsidRPr="00D51628">
        <w:rPr>
          <w:b/>
          <w:i/>
          <w:sz w:val="16"/>
          <w:lang w:val="en-US"/>
        </w:rPr>
        <w:t>BIRTH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RATES</w:t>
      </w:r>
      <w:r w:rsidRPr="00F910E4">
        <w:rPr>
          <w:b/>
          <w:i/>
          <w:sz w:val="16"/>
          <w:lang w:val="en-US"/>
        </w:rPr>
        <w:t xml:space="preserve">, </w:t>
      </w:r>
      <w:r w:rsidRPr="00D51628">
        <w:rPr>
          <w:b/>
          <w:i/>
          <w:sz w:val="16"/>
          <w:lang w:val="en-US"/>
        </w:rPr>
        <w:t>DEATH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RATES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AND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NATURAL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INCREASE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OF</w:t>
      </w:r>
      <w:r w:rsidRPr="00F910E4">
        <w:rPr>
          <w:b/>
          <w:i/>
          <w:sz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POPULATION</w:t>
      </w:r>
      <w:r w:rsidRPr="00F910E4">
        <w:rPr>
          <w:b/>
          <w:i/>
          <w:sz w:val="16"/>
          <w:lang w:val="en-US"/>
        </w:rPr>
        <w:br/>
      </w:r>
      <w:r w:rsidRPr="00D51628">
        <w:rPr>
          <w:i/>
          <w:lang w:val="en-US"/>
        </w:rPr>
        <w:t>per</w:t>
      </w:r>
      <w:r w:rsidRPr="00F910E4">
        <w:rPr>
          <w:i/>
          <w:lang w:val="en-US"/>
        </w:rPr>
        <w:t xml:space="preserve"> 1000 </w:t>
      </w:r>
      <w:r w:rsidRPr="00D51628">
        <w:rPr>
          <w:i/>
          <w:lang w:val="en-US"/>
        </w:rPr>
        <w:t>population</w:t>
      </w:r>
    </w:p>
    <w:tbl>
      <w:tblPr>
        <w:tblW w:w="99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50"/>
        <w:gridCol w:w="450"/>
        <w:gridCol w:w="450"/>
        <w:gridCol w:w="451"/>
        <w:gridCol w:w="450"/>
        <w:gridCol w:w="450"/>
        <w:gridCol w:w="450"/>
        <w:gridCol w:w="451"/>
        <w:gridCol w:w="450"/>
        <w:gridCol w:w="450"/>
        <w:gridCol w:w="450"/>
        <w:gridCol w:w="451"/>
        <w:gridCol w:w="2259"/>
      </w:tblGrid>
      <w:tr w:rsidR="00725804" w:rsidRPr="00725804" w:rsidTr="0038458E">
        <w:trPr>
          <w:cantSplit/>
        </w:trPr>
        <w:tc>
          <w:tcPr>
            <w:tcW w:w="22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F910E4" w:rsidRDefault="00725804" w:rsidP="0038458E">
            <w:pPr>
              <w:snapToGrid w:val="0"/>
              <w:spacing w:before="60" w:after="60" w:line="140" w:lineRule="exact"/>
              <w:jc w:val="center"/>
              <w:rPr>
                <w:lang w:val="en-US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ind w:left="57"/>
            </w:pPr>
            <w:r w:rsidRPr="00D51628">
              <w:rPr>
                <w:sz w:val="12"/>
                <w:szCs w:val="12"/>
              </w:rPr>
              <w:t>Родившиеся</w:t>
            </w:r>
          </w:p>
          <w:p w:rsidR="00725804" w:rsidRPr="00D51628" w:rsidRDefault="00725804" w:rsidP="0038458E">
            <w:pPr>
              <w:spacing w:before="40" w:after="20"/>
              <w:ind w:left="57"/>
            </w:pPr>
            <w:r w:rsidRPr="00D51628">
              <w:rPr>
                <w:i/>
                <w:sz w:val="12"/>
                <w:lang w:val="en-US"/>
              </w:rPr>
              <w:t>Birth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  <w:lang w:val="en-US"/>
              </w:rPr>
              <w:t>rate</w:t>
            </w: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ind w:left="57"/>
            </w:pPr>
            <w:proofErr w:type="gramStart"/>
            <w:r w:rsidRPr="00D51628">
              <w:rPr>
                <w:sz w:val="12"/>
                <w:szCs w:val="12"/>
              </w:rPr>
              <w:t>Умершие</w:t>
            </w:r>
            <w:proofErr w:type="gramEnd"/>
          </w:p>
          <w:p w:rsidR="00725804" w:rsidRPr="00D51628" w:rsidRDefault="00725804" w:rsidP="0038458E">
            <w:pPr>
              <w:spacing w:before="40" w:after="20"/>
              <w:ind w:left="57"/>
            </w:pPr>
            <w:r w:rsidRPr="00D51628">
              <w:rPr>
                <w:i/>
                <w:sz w:val="12"/>
                <w:lang w:val="en-US"/>
              </w:rPr>
              <w:t>Death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  <w:lang w:val="en-US"/>
              </w:rPr>
              <w:t>rate</w:t>
            </w: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ind w:left="57"/>
              <w:rPr>
                <w:lang w:val="en-US"/>
              </w:rPr>
            </w:pPr>
            <w:r w:rsidRPr="00D51628">
              <w:rPr>
                <w:sz w:val="12"/>
                <w:szCs w:val="12"/>
              </w:rPr>
              <w:t>Естественный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прирост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населения</w:t>
            </w:r>
            <w:proofErr w:type="gramStart"/>
            <w:r w:rsidRPr="00D51628">
              <w:rPr>
                <w:sz w:val="12"/>
                <w:szCs w:val="12"/>
                <w:vertAlign w:val="superscript"/>
                <w:lang w:val="en-US"/>
              </w:rPr>
              <w:t>1</w:t>
            </w:r>
            <w:proofErr w:type="gramEnd"/>
            <w:r w:rsidRPr="00D51628">
              <w:rPr>
                <w:sz w:val="12"/>
                <w:szCs w:val="12"/>
                <w:vertAlign w:val="superscript"/>
                <w:lang w:val="en-US"/>
              </w:rPr>
              <w:t xml:space="preserve">) </w:t>
            </w:r>
          </w:p>
          <w:p w:rsidR="00725804" w:rsidRPr="00D51628" w:rsidRDefault="00725804" w:rsidP="0038458E">
            <w:pPr>
              <w:spacing w:before="40" w:after="20"/>
              <w:ind w:left="57"/>
              <w:rPr>
                <w:lang w:val="en-US"/>
              </w:rPr>
            </w:pPr>
            <w:r w:rsidRPr="00D51628">
              <w:rPr>
                <w:i/>
                <w:sz w:val="12"/>
                <w:lang w:val="en-US"/>
              </w:rPr>
              <w:t>Natural increase (decrease) of population</w:t>
            </w:r>
            <w:r w:rsidRPr="00D51628">
              <w:rPr>
                <w:i/>
                <w:sz w:val="12"/>
                <w:vertAlign w:val="superscript"/>
                <w:lang w:val="en-US"/>
              </w:rPr>
              <w:t>1)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napToGrid w:val="0"/>
              <w:spacing w:before="40" w:after="20"/>
              <w:jc w:val="center"/>
              <w:rPr>
                <w:i/>
                <w:lang w:val="en-US"/>
              </w:rPr>
            </w:pPr>
          </w:p>
        </w:tc>
      </w:tr>
      <w:tr w:rsidR="00725804" w:rsidRPr="00D51628" w:rsidTr="0038458E">
        <w:trPr>
          <w:cantSplit/>
        </w:trPr>
        <w:tc>
          <w:tcPr>
            <w:tcW w:w="226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napToGrid w:val="0"/>
              <w:spacing w:before="60" w:after="60" w:line="140" w:lineRule="exact"/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5877FE" w:rsidRDefault="00725804" w:rsidP="0038458E">
            <w:pPr>
              <w:spacing w:before="4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5877FE" w:rsidRDefault="00725804" w:rsidP="0038458E">
            <w:pPr>
              <w:spacing w:before="4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pacing w:before="40" w:after="20"/>
              <w:jc w:val="center"/>
            </w:pPr>
            <w:r w:rsidRPr="00D51628">
              <w:t>2018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5877FE" w:rsidRDefault="00725804" w:rsidP="0038458E">
            <w:pPr>
              <w:spacing w:before="4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5804" w:rsidRPr="00D51628" w:rsidRDefault="00725804" w:rsidP="0038458E">
            <w:pPr>
              <w:snapToGrid w:val="0"/>
              <w:spacing w:before="40" w:after="20"/>
              <w:jc w:val="center"/>
              <w:rPr>
                <w:i/>
              </w:rPr>
            </w:pPr>
          </w:p>
        </w:tc>
      </w:tr>
      <w:tr w:rsidR="00725804" w:rsidRPr="00D51628" w:rsidTr="0038458E">
        <w:trPr>
          <w:cantSplit/>
        </w:trPr>
        <w:tc>
          <w:tcPr>
            <w:tcW w:w="2260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right="85"/>
              <w:jc w:val="right"/>
            </w:pPr>
            <w:r w:rsidRPr="00D51628">
              <w:t>12,5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pacing w:before="80" w:line="160" w:lineRule="exact"/>
              <w:ind w:right="85"/>
              <w:jc w:val="right"/>
            </w:pPr>
            <w:r w:rsidRPr="00D51628">
              <w:t>11,5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pacing w:before="80" w:line="160" w:lineRule="exact"/>
              <w:ind w:right="85"/>
              <w:jc w:val="right"/>
            </w:pPr>
            <w:r w:rsidRPr="00D51628">
              <w:t>10,9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tabs>
                <w:tab w:val="left" w:pos="309"/>
              </w:tabs>
              <w:spacing w:before="80" w:line="160" w:lineRule="exact"/>
              <w:ind w:right="85"/>
              <w:jc w:val="right"/>
            </w:pPr>
            <w:r w:rsidRPr="008369CB">
              <w:t>10,1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14,2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12,4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12,5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12,3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-1,7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-0,9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-1,6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8369CB" w:rsidRDefault="00725804" w:rsidP="0038458E">
            <w:pPr>
              <w:spacing w:before="80" w:line="160" w:lineRule="exact"/>
              <w:ind w:right="85"/>
              <w:jc w:val="right"/>
            </w:pPr>
            <w:r w:rsidRPr="008369CB">
              <w:t>-2,2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57"/>
              <w:rPr>
                <w:i/>
              </w:rPr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tabs>
                <w:tab w:val="left" w:pos="309"/>
              </w:tabs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Азербайджан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18,5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8,7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Армения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3,4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0"/>
              <w:spacing w:before="80" w:line="160" w:lineRule="exact"/>
              <w:ind w:left="113"/>
            </w:pPr>
            <w:r w:rsidRPr="00D51628">
              <w:t>Беларусь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-2,8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-3,5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Казахстан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22,5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14,5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Киргизия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26,8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24,8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27,1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20,2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24,5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Республика Молдова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-0,9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-0,1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-1,7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Republic</w:t>
            </w:r>
            <w:proofErr w:type="spellEnd"/>
            <w:r w:rsidRPr="00D51628">
              <w:rPr>
                <w:i/>
                <w:lang w:val="de-DE"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of</w:t>
            </w:r>
            <w:proofErr w:type="spellEnd"/>
            <w:r w:rsidRPr="00D51628">
              <w:rPr>
                <w:i/>
                <w:lang w:val="de-DE"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Таджикистан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25,3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25,6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27,5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22,0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Узбекистан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22,1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23,3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24,3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17,3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17,1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18,6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19,7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Украина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-5,1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-6,1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-6,6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Бразилия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7,7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Индия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22,1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20.2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20,0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6,2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13,8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Китай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10,9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10,5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3,3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rPr>
                <w:bCs/>
              </w:rPr>
              <w:t>Южно-Африканская Республика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23,4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20,6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20,2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19,9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11,2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9,3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9,2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9,2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EU countries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Австрия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9.7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0,2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0"/>
              <w:spacing w:before="80" w:line="16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Austria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Бельгия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10,4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046FF5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rPr>
                <w:lang w:val="en-US"/>
              </w:rPr>
              <w:t>10</w:t>
            </w:r>
            <w:r>
              <w:t>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0,7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0,6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Болгария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8,8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-6,5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-6,5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-6,6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Венгрия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9</w:t>
            </w:r>
            <w:r w:rsidRPr="00DA147C">
              <w:t>,</w:t>
            </w:r>
            <w:r w:rsidRPr="00DA147C">
              <w:rPr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-4,0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Германия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11,3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-2,2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-2,0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-1,9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0"/>
              <w:spacing w:before="80" w:line="160" w:lineRule="exact"/>
              <w:ind w:left="113"/>
            </w:pPr>
            <w:r w:rsidRPr="00D51628">
              <w:t>Дания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</w:t>
            </w:r>
            <w:r w:rsidRPr="00DA147C">
              <w:t>,</w:t>
            </w:r>
            <w:r w:rsidRPr="00DA147C">
              <w:rPr>
                <w:lang w:val="en-US"/>
              </w:rPr>
              <w:t>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1,2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Denmark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Италия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7,3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-0,4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-3,2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Литва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14,2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14,1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13,7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-4,0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-4,1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-3,9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bCs/>
                <w:i/>
              </w:rPr>
              <w:t>Lithuania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Нидерланды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8</w:t>
            </w:r>
            <w:r w:rsidRPr="00DA147C">
              <w:t>,</w:t>
            </w:r>
            <w:r w:rsidRPr="00DA147C">
              <w:rPr>
                <w:lang w:val="en-US"/>
              </w:rPr>
              <w:t>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1,1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Польша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</w:t>
            </w:r>
            <w:r>
              <w:t>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0,0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-</w:t>
            </w:r>
            <w:r w:rsidRPr="00DA147C">
              <w:t>0,7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-0,9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0"/>
              <w:spacing w:before="80" w:line="160" w:lineRule="exact"/>
              <w:ind w:left="113"/>
            </w:pPr>
            <w:r w:rsidRPr="00D51628">
              <w:t>Румыния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rPr>
                <w:lang w:val="en-US"/>
              </w:rPr>
              <w:t>10,3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13,5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-3,9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 xml:space="preserve">Соединенное Королевство </w:t>
            </w:r>
            <w:r w:rsidRPr="00D51628">
              <w:rPr>
                <w:lang w:val="en-US"/>
              </w:rPr>
              <w:br/>
            </w:r>
            <w:r w:rsidRPr="00D51628">
              <w:t>(Великобритания)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1,3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Финляндия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8,3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9,7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-0,6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-1,4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Франция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</w:t>
            </w:r>
            <w:r>
              <w:t>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9,2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r w:rsidRPr="00D51628">
              <w:rPr>
                <w:i/>
                <w:lang w:val="de-DE"/>
              </w:rPr>
              <w:t>France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Швеция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9,1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Sweden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01-golovka"/>
              <w:spacing w:after="0" w:line="16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01-golovka"/>
              <w:widowControl/>
              <w:spacing w:after="0" w:line="160" w:lineRule="exact"/>
              <w:ind w:left="57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b/>
                <w:i/>
                <w:lang w:val="en-US"/>
              </w:rPr>
              <w:t>Other countries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pStyle w:val="11"/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01-golovka"/>
              <w:widowControl/>
              <w:spacing w:after="0" w:line="160" w:lineRule="exact"/>
              <w:ind w:left="284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bCs/>
                <w:i/>
                <w:lang w:val="en-US"/>
              </w:rPr>
              <w:t>of which</w:t>
            </w:r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Австралия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13,8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6,3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Аргентина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18,5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16,0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15,4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7,8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Канада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10,0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7,7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2,4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Мексика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16,5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16,1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17,3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5,6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11,3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</w:t>
            </w:r>
            <w:r>
              <w:t>0</w:t>
            </w:r>
            <w:r w:rsidRPr="00DA147C">
              <w:t>,</w:t>
            </w:r>
            <w:r>
              <w:t>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11,6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Норвегия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8,5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7,6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4,1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3,0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2,7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2,6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Швейцария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9,6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7,9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7,8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2,3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2,4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2,4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1,8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170"/>
              <w:rPr>
                <w:i/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Switzerland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США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12,9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11,9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11,6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8,0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8,7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4,9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3,2</w:t>
            </w:r>
          </w:p>
        </w:tc>
        <w:tc>
          <w:tcPr>
            <w:tcW w:w="45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…</w:t>
            </w:r>
          </w:p>
        </w:tc>
        <w:tc>
          <w:tcPr>
            <w:tcW w:w="45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..</w:t>
            </w:r>
          </w:p>
        </w:tc>
        <w:tc>
          <w:tcPr>
            <w:tcW w:w="22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5804" w:rsidRPr="00D51628" w:rsidRDefault="00725804" w:rsidP="0038458E">
            <w:pPr>
              <w:spacing w:before="80" w:line="160" w:lineRule="exact"/>
              <w:ind w:left="170"/>
              <w:rPr>
                <w:i/>
              </w:rPr>
            </w:pPr>
            <w:r w:rsidRPr="00D51628">
              <w:rPr>
                <w:i/>
              </w:rPr>
              <w:t>USA</w:t>
            </w:r>
          </w:p>
        </w:tc>
      </w:tr>
      <w:tr w:rsidR="00725804" w:rsidRPr="00D51628" w:rsidTr="0038458E">
        <w:trPr>
          <w:cantSplit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5804" w:rsidRPr="00D51628" w:rsidRDefault="00725804" w:rsidP="0038458E">
            <w:pPr>
              <w:spacing w:before="80" w:line="160" w:lineRule="exact"/>
              <w:ind w:left="113"/>
            </w:pPr>
            <w:r w:rsidRPr="00D51628">
              <w:t>Япония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8,4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7,5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7,3</w:t>
            </w:r>
          </w:p>
        </w:tc>
        <w:tc>
          <w:tcPr>
            <w:tcW w:w="4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6,9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9,3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10,6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10,8</w:t>
            </w:r>
          </w:p>
        </w:tc>
        <w:tc>
          <w:tcPr>
            <w:tcW w:w="4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10,9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-1,0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-3,1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 w:rsidRPr="00DA147C">
              <w:t>-3,5</w:t>
            </w:r>
          </w:p>
        </w:tc>
        <w:tc>
          <w:tcPr>
            <w:tcW w:w="4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A147C" w:rsidRDefault="00725804" w:rsidP="0038458E">
            <w:pPr>
              <w:snapToGrid w:val="0"/>
              <w:spacing w:before="80" w:line="160" w:lineRule="exact"/>
              <w:ind w:right="85"/>
              <w:jc w:val="right"/>
            </w:pPr>
            <w:r>
              <w:t>-4,1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804" w:rsidRPr="00D51628" w:rsidRDefault="00725804" w:rsidP="0038458E">
            <w:pPr>
              <w:pStyle w:val="1"/>
              <w:spacing w:before="80" w:line="160" w:lineRule="exact"/>
              <w:ind w:left="170"/>
              <w:rPr>
                <w:i/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Japan</w:t>
            </w:r>
          </w:p>
        </w:tc>
      </w:tr>
    </w:tbl>
    <w:p w:rsidR="00725804" w:rsidRPr="00D51628" w:rsidRDefault="00725804" w:rsidP="00725804">
      <w:pPr>
        <w:tabs>
          <w:tab w:val="center" w:pos="6634"/>
        </w:tabs>
        <w:spacing w:before="60" w:line="120" w:lineRule="exact"/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Знак</w:t>
      </w:r>
      <w:proofErr w:type="gramStart"/>
      <w:r w:rsidRPr="00D51628">
        <w:rPr>
          <w:sz w:val="12"/>
          <w:szCs w:val="12"/>
        </w:rPr>
        <w:t xml:space="preserve"> (-) </w:t>
      </w:r>
      <w:proofErr w:type="gramEnd"/>
      <w:r w:rsidRPr="00D51628">
        <w:rPr>
          <w:sz w:val="12"/>
          <w:szCs w:val="12"/>
        </w:rPr>
        <w:t>означает естественную убыль.</w:t>
      </w:r>
    </w:p>
    <w:p w:rsidR="00725804" w:rsidRPr="00D51628" w:rsidRDefault="00725804" w:rsidP="00725804">
      <w:pPr>
        <w:pStyle w:val="1"/>
        <w:tabs>
          <w:tab w:val="center" w:pos="6634"/>
        </w:tabs>
        <w:spacing w:before="60" w:line="120" w:lineRule="exact"/>
        <w:rPr>
          <w:b w:val="0"/>
          <w:i/>
          <w:sz w:val="14"/>
          <w:szCs w:val="14"/>
          <w:u w:val="none"/>
          <w:lang w:val="en-US"/>
        </w:rPr>
      </w:pPr>
      <w:r w:rsidRPr="00D51628">
        <w:rPr>
          <w:b w:val="0"/>
          <w:i/>
          <w:sz w:val="12"/>
          <w:szCs w:val="12"/>
          <w:u w:val="none"/>
          <w:vertAlign w:val="superscript"/>
          <w:lang w:val="en-US"/>
        </w:rPr>
        <w:t>1)</w:t>
      </w:r>
      <w:r w:rsidRPr="00D51628">
        <w:rPr>
          <w:b w:val="0"/>
          <w:i/>
          <w:sz w:val="12"/>
          <w:szCs w:val="12"/>
          <w:u w:val="none"/>
          <w:lang w:val="en-US"/>
        </w:rPr>
        <w:t xml:space="preserve"> The (-) sign means natural decrease.</w:t>
      </w:r>
    </w:p>
    <w:p w:rsidR="00EC3634" w:rsidRPr="00725804" w:rsidRDefault="00EC3634">
      <w:pPr>
        <w:rPr>
          <w:lang w:val="en-US"/>
        </w:rPr>
      </w:pPr>
      <w:bookmarkStart w:id="0" w:name="_GoBack"/>
      <w:bookmarkEnd w:id="0"/>
    </w:p>
    <w:sectPr w:rsidR="00EC3634" w:rsidRPr="0072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04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25804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5804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725804"/>
  </w:style>
  <w:style w:type="paragraph" w:customStyle="1" w:styleId="11">
    <w:name w:val="Текст выноски1"/>
    <w:basedOn w:val="a"/>
    <w:rsid w:val="00725804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725804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5804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725804"/>
  </w:style>
  <w:style w:type="paragraph" w:customStyle="1" w:styleId="11">
    <w:name w:val="Текст выноски1"/>
    <w:basedOn w:val="a"/>
    <w:rsid w:val="00725804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725804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2021-01-14T11:59:00Z</dcterms:created>
  <dcterms:modified xsi:type="dcterms:W3CDTF">2021-01-14T11:59:00Z</dcterms:modified>
</cp:coreProperties>
</file>