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40405" w:rsidRPr="00C40405" w:rsidTr="00C40405">
        <w:trPr>
          <w:tblCellSpacing w:w="0" w:type="dxa"/>
        </w:trPr>
        <w:tc>
          <w:tcPr>
            <w:tcW w:w="0" w:type="auto"/>
            <w:shd w:val="clear" w:color="auto" w:fill="E5E5F5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20"/>
                <w:szCs w:val="20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sz w:val="20"/>
                <w:szCs w:val="20"/>
                <w:lang w:eastAsia="ru-RU"/>
              </w:rPr>
              <w:t xml:space="preserve">Поступление патентных заявок и выдача охранных документов в России </w:t>
            </w:r>
          </w:p>
        </w:tc>
      </w:tr>
    </w:tbl>
    <w:p w:rsidR="00C40405" w:rsidRPr="00C40405" w:rsidRDefault="00C40405" w:rsidP="00C40405">
      <w:pPr>
        <w:spacing w:before="150" w:after="150" w:line="240" w:lineRule="auto"/>
        <w:ind w:left="150" w:right="150"/>
        <w:jc w:val="center"/>
        <w:rPr>
          <w:rFonts w:ascii="Verdana" w:eastAsiaTheme="minorEastAsia" w:hAnsi="Verdana" w:cs="Times New Roman"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C40405" w:rsidRPr="00C40405" w:rsidRDefault="00C40405" w:rsidP="00C4040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C40405" w:rsidRPr="00C40405" w:rsidRDefault="00C40405" w:rsidP="00C40405">
      <w:pPr>
        <w:spacing w:before="150" w:after="150" w:line="240" w:lineRule="auto"/>
        <w:ind w:left="150" w:right="150" w:firstLine="559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</w:t>
      </w: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охранный документ, выдаваемый на объект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 </w:t>
      </w:r>
    </w:p>
    <w:p w:rsidR="00C40405" w:rsidRPr="00C40405" w:rsidRDefault="00C40405" w:rsidP="00C40405">
      <w:pPr>
        <w:spacing w:before="150" w:after="150" w:line="240" w:lineRule="auto"/>
        <w:ind w:left="150" w:right="150" w:firstLine="559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Изобретение </w:t>
      </w: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 Изобретению предоставляется правовая охрана, если оно является новым, промышленно применимым и имеет изобретательский уровень. </w:t>
      </w:r>
    </w:p>
    <w:p w:rsidR="00C40405" w:rsidRPr="00C40405" w:rsidRDefault="00C40405" w:rsidP="00C40405">
      <w:pPr>
        <w:spacing w:before="150" w:after="150" w:line="240" w:lineRule="auto"/>
        <w:ind w:left="150" w:right="150" w:firstLine="559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Полезная модель </w:t>
      </w: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– техническое решение, относящееся к устройству. К полезным моделям относятся конструктивное выполнение сре</w:t>
      </w:r>
      <w:proofErr w:type="gramStart"/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дств пр</w:t>
      </w:r>
      <w:proofErr w:type="gramEnd"/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оизводства и предметов потребления, а также их составных частей. Полезной модели предоставляется правовая охрана (патент), если она является новой и промышленно применимой. </w:t>
      </w:r>
    </w:p>
    <w:p w:rsidR="00C40405" w:rsidRPr="00C40405" w:rsidRDefault="00C40405" w:rsidP="00C40405">
      <w:pPr>
        <w:spacing w:before="150" w:after="150" w:line="240" w:lineRule="auto"/>
        <w:ind w:left="150" w:right="150" w:firstLine="559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Промышленный образе</w:t>
      </w:r>
      <w:proofErr w:type="gramStart"/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ц</w:t>
      </w: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–</w:t>
      </w:r>
      <w:proofErr w:type="gramEnd"/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 художественно-конструкторское решение изделия промышленного или кустарно-ремесленного производства, определяющее его внешний вид. Промышленному образцу предоставляется правовая охрана, если он является новым и оригинальным. Создание и патентование изобретений и полезных моделей является важнейшим результатом научных исследований и разработок. </w:t>
      </w:r>
    </w:p>
    <w:p w:rsidR="00C40405" w:rsidRPr="00C40405" w:rsidRDefault="00C40405" w:rsidP="00C40405">
      <w:pPr>
        <w:spacing w:before="150" w:after="150" w:line="240" w:lineRule="auto"/>
        <w:ind w:left="150" w:right="150" w:firstLine="559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на изобретение или полезную модель </w:t>
      </w: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охранный документ, удостоверяющий приоритет, авторство и исключительное право использования интеллектуальной собственности в течение срока действия патента. </w:t>
      </w:r>
    </w:p>
    <w:p w:rsidR="00C40405" w:rsidRPr="00C40405" w:rsidRDefault="00C40405" w:rsidP="00C40405">
      <w:pPr>
        <w:tabs>
          <w:tab w:val="left" w:pos="709"/>
        </w:tabs>
        <w:spacing w:before="150" w:after="150" w:line="240" w:lineRule="auto"/>
        <w:ind w:left="150" w:right="150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        Основным источником информации о подаче патентных заявок и выдаче охранных документов на изобретения, полезные модели и промышленные образцы в России является </w:t>
      </w: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Федеральная служба по интеллектуальной собственности (Роспатент). </w:t>
      </w:r>
    </w:p>
    <w:p w:rsidR="00C40405" w:rsidRPr="00C40405" w:rsidRDefault="00C40405" w:rsidP="00C4040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C40405" w:rsidRPr="00C40405" w:rsidTr="00C40405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C40405" w:rsidRPr="00C40405" w:rsidRDefault="00C40405" w:rsidP="00C40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1630" cy="341630"/>
                  <wp:effectExtent l="0" t="0" r="1270" b="1270"/>
                  <wp:docPr id="1" name="Рисунок 1" descr="Описание: Описание: Описание: Описание: 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20"/>
                <w:szCs w:val="20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C40405" w:rsidRPr="00C40405" w:rsidRDefault="00C40405" w:rsidP="00C40405">
      <w:pPr>
        <w:spacing w:before="150" w:after="150" w:line="240" w:lineRule="auto"/>
        <w:ind w:left="150" w:right="150"/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</w:pPr>
      <w:r w:rsidRPr="00C40405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C40405" w:rsidRPr="00C40405" w:rsidTr="00C40405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  <w:t>По данным формы</w:t>
            </w:r>
            <w:r w:rsidRPr="00C40405">
              <w:rPr>
                <w:rFonts w:ascii="Verdana" w:eastAsiaTheme="minorEastAsia" w:hAnsi="Verdana" w:cs="Times New Roman"/>
                <w:b/>
                <w:bCs/>
                <w:sz w:val="17"/>
                <w:szCs w:val="17"/>
                <w:lang w:eastAsia="ru-RU"/>
              </w:rPr>
              <w:t xml:space="preserve"> №4-НТ (перечень) «Сведения об использовании интеллектуальной собственности», Федеральной службы по интеллектуальной собственности (Роспатент) </w:t>
            </w:r>
          </w:p>
        </w:tc>
      </w:tr>
      <w:tr w:rsidR="00C40405" w:rsidRPr="00C40405" w:rsidTr="00C40405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C40405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C40405" w:rsidRPr="00C40405" w:rsidTr="00C40405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Май </w:t>
            </w:r>
            <w:r w:rsidRPr="00C40405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C40405" w:rsidRPr="00C40405" w:rsidTr="00C40405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C40405" w:rsidRPr="00C40405" w:rsidRDefault="00C40405" w:rsidP="00C40405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C40405" w:rsidRPr="00C40405" w:rsidRDefault="00853ADD" w:rsidP="00853ADD">
            <w:pPr>
              <w:spacing w:before="150" w:after="24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Бабаян М.Ш.</w:t>
            </w:r>
            <w:r w:rsidR="00C40405" w:rsidRPr="00C40405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, </w:t>
            </w:r>
            <w:r w:rsidR="00C40405" w:rsidRPr="00C40405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>632-91-17</w:t>
            </w:r>
            <w:bookmarkStart w:id="0" w:name="_GoBack"/>
            <w:bookmarkEnd w:id="0"/>
          </w:p>
        </w:tc>
      </w:tr>
    </w:tbl>
    <w:p w:rsidR="00C40405" w:rsidRPr="00C40405" w:rsidRDefault="00C40405" w:rsidP="00C40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F9B" w:rsidRDefault="00853ADD"/>
    <w:sectPr w:rsidR="003D5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05"/>
    <w:rsid w:val="00004153"/>
    <w:rsid w:val="00007211"/>
    <w:rsid w:val="000132D9"/>
    <w:rsid w:val="00023954"/>
    <w:rsid w:val="00031C44"/>
    <w:rsid w:val="00042226"/>
    <w:rsid w:val="00045E36"/>
    <w:rsid w:val="00050626"/>
    <w:rsid w:val="00051A47"/>
    <w:rsid w:val="00051C4D"/>
    <w:rsid w:val="000551D2"/>
    <w:rsid w:val="00056B41"/>
    <w:rsid w:val="00060D6F"/>
    <w:rsid w:val="000611D6"/>
    <w:rsid w:val="00064AE3"/>
    <w:rsid w:val="00065B24"/>
    <w:rsid w:val="00086306"/>
    <w:rsid w:val="000965F0"/>
    <w:rsid w:val="000A0792"/>
    <w:rsid w:val="000A0EFF"/>
    <w:rsid w:val="000B6753"/>
    <w:rsid w:val="000B7490"/>
    <w:rsid w:val="000C4215"/>
    <w:rsid w:val="000C42CE"/>
    <w:rsid w:val="000D1054"/>
    <w:rsid w:val="000D390C"/>
    <w:rsid w:val="000D50FD"/>
    <w:rsid w:val="000E1713"/>
    <w:rsid w:val="00104EE5"/>
    <w:rsid w:val="0010722E"/>
    <w:rsid w:val="001224D5"/>
    <w:rsid w:val="001276F3"/>
    <w:rsid w:val="00127833"/>
    <w:rsid w:val="00142020"/>
    <w:rsid w:val="001508AB"/>
    <w:rsid w:val="00157E74"/>
    <w:rsid w:val="0016018F"/>
    <w:rsid w:val="00160DBD"/>
    <w:rsid w:val="00162536"/>
    <w:rsid w:val="00163A26"/>
    <w:rsid w:val="0016726D"/>
    <w:rsid w:val="00173275"/>
    <w:rsid w:val="0017351E"/>
    <w:rsid w:val="00174845"/>
    <w:rsid w:val="00174B67"/>
    <w:rsid w:val="001770A0"/>
    <w:rsid w:val="00180BCC"/>
    <w:rsid w:val="001825B6"/>
    <w:rsid w:val="00182D6B"/>
    <w:rsid w:val="00185963"/>
    <w:rsid w:val="001862DE"/>
    <w:rsid w:val="00191F1C"/>
    <w:rsid w:val="00193370"/>
    <w:rsid w:val="0019749B"/>
    <w:rsid w:val="001A5903"/>
    <w:rsid w:val="001A6E48"/>
    <w:rsid w:val="001B66D2"/>
    <w:rsid w:val="001B7F9E"/>
    <w:rsid w:val="001C7E8D"/>
    <w:rsid w:val="001E1FD1"/>
    <w:rsid w:val="001E3833"/>
    <w:rsid w:val="001E3F65"/>
    <w:rsid w:val="001E3F7C"/>
    <w:rsid w:val="001E545E"/>
    <w:rsid w:val="001E63DE"/>
    <w:rsid w:val="001E75D4"/>
    <w:rsid w:val="001F6C48"/>
    <w:rsid w:val="00201DC9"/>
    <w:rsid w:val="00203565"/>
    <w:rsid w:val="0021322A"/>
    <w:rsid w:val="00215025"/>
    <w:rsid w:val="002161B0"/>
    <w:rsid w:val="00220494"/>
    <w:rsid w:val="00226ACF"/>
    <w:rsid w:val="00231D3C"/>
    <w:rsid w:val="002328C6"/>
    <w:rsid w:val="00235771"/>
    <w:rsid w:val="00241C1D"/>
    <w:rsid w:val="0024528A"/>
    <w:rsid w:val="00265089"/>
    <w:rsid w:val="00265E6E"/>
    <w:rsid w:val="00270C2E"/>
    <w:rsid w:val="00282EC0"/>
    <w:rsid w:val="00283A4C"/>
    <w:rsid w:val="002B3BAD"/>
    <w:rsid w:val="002B471D"/>
    <w:rsid w:val="002B67C0"/>
    <w:rsid w:val="002C0E0B"/>
    <w:rsid w:val="002D5996"/>
    <w:rsid w:val="002D6780"/>
    <w:rsid w:val="002D6B28"/>
    <w:rsid w:val="002E0288"/>
    <w:rsid w:val="002E7166"/>
    <w:rsid w:val="002F0538"/>
    <w:rsid w:val="002F15B2"/>
    <w:rsid w:val="002F66D7"/>
    <w:rsid w:val="0030071B"/>
    <w:rsid w:val="003011D3"/>
    <w:rsid w:val="003104EC"/>
    <w:rsid w:val="003157F8"/>
    <w:rsid w:val="00324C3D"/>
    <w:rsid w:val="00331423"/>
    <w:rsid w:val="0033323C"/>
    <w:rsid w:val="003363FE"/>
    <w:rsid w:val="00337CCE"/>
    <w:rsid w:val="003452B9"/>
    <w:rsid w:val="003458AF"/>
    <w:rsid w:val="00350464"/>
    <w:rsid w:val="00357C24"/>
    <w:rsid w:val="00370751"/>
    <w:rsid w:val="00372845"/>
    <w:rsid w:val="003821FB"/>
    <w:rsid w:val="00384968"/>
    <w:rsid w:val="00387DC2"/>
    <w:rsid w:val="00387E4D"/>
    <w:rsid w:val="003943FB"/>
    <w:rsid w:val="003A6F90"/>
    <w:rsid w:val="003B3CA2"/>
    <w:rsid w:val="003C34BD"/>
    <w:rsid w:val="003C6B75"/>
    <w:rsid w:val="003D3D19"/>
    <w:rsid w:val="003D464D"/>
    <w:rsid w:val="003E1E9B"/>
    <w:rsid w:val="003E56E6"/>
    <w:rsid w:val="003E6C73"/>
    <w:rsid w:val="003E7F38"/>
    <w:rsid w:val="003F18B5"/>
    <w:rsid w:val="003F3777"/>
    <w:rsid w:val="003F693C"/>
    <w:rsid w:val="004138B0"/>
    <w:rsid w:val="0041702E"/>
    <w:rsid w:val="0042092F"/>
    <w:rsid w:val="004253F4"/>
    <w:rsid w:val="0043062F"/>
    <w:rsid w:val="00433785"/>
    <w:rsid w:val="0043378E"/>
    <w:rsid w:val="00434FA3"/>
    <w:rsid w:val="004422C4"/>
    <w:rsid w:val="00443D27"/>
    <w:rsid w:val="004515BF"/>
    <w:rsid w:val="00454DD7"/>
    <w:rsid w:val="004905C0"/>
    <w:rsid w:val="0049285B"/>
    <w:rsid w:val="004A2463"/>
    <w:rsid w:val="004A3B76"/>
    <w:rsid w:val="004A647B"/>
    <w:rsid w:val="004A6615"/>
    <w:rsid w:val="004A6CC3"/>
    <w:rsid w:val="004B08BB"/>
    <w:rsid w:val="004B568F"/>
    <w:rsid w:val="004B7ECD"/>
    <w:rsid w:val="004C74D6"/>
    <w:rsid w:val="004D563C"/>
    <w:rsid w:val="004D5EE4"/>
    <w:rsid w:val="004F22E0"/>
    <w:rsid w:val="004F6364"/>
    <w:rsid w:val="004F6430"/>
    <w:rsid w:val="004F6820"/>
    <w:rsid w:val="004F792B"/>
    <w:rsid w:val="00507825"/>
    <w:rsid w:val="00511AE3"/>
    <w:rsid w:val="00512B16"/>
    <w:rsid w:val="005141DC"/>
    <w:rsid w:val="00535D8E"/>
    <w:rsid w:val="005362E0"/>
    <w:rsid w:val="0054680C"/>
    <w:rsid w:val="00562FDA"/>
    <w:rsid w:val="00567B7F"/>
    <w:rsid w:val="00575A4B"/>
    <w:rsid w:val="00581C8A"/>
    <w:rsid w:val="0058261E"/>
    <w:rsid w:val="00582DD7"/>
    <w:rsid w:val="00594331"/>
    <w:rsid w:val="0059736A"/>
    <w:rsid w:val="00597AA3"/>
    <w:rsid w:val="005A36A1"/>
    <w:rsid w:val="005B2380"/>
    <w:rsid w:val="005D220E"/>
    <w:rsid w:val="005D2A88"/>
    <w:rsid w:val="005D2D94"/>
    <w:rsid w:val="005D7321"/>
    <w:rsid w:val="005E1E74"/>
    <w:rsid w:val="005E1F63"/>
    <w:rsid w:val="005F18FB"/>
    <w:rsid w:val="005F6BFE"/>
    <w:rsid w:val="006009DA"/>
    <w:rsid w:val="00620950"/>
    <w:rsid w:val="0062153F"/>
    <w:rsid w:val="00621DBB"/>
    <w:rsid w:val="006249E0"/>
    <w:rsid w:val="00624DF0"/>
    <w:rsid w:val="00640E36"/>
    <w:rsid w:val="00642EE7"/>
    <w:rsid w:val="006435B0"/>
    <w:rsid w:val="00643A55"/>
    <w:rsid w:val="006443CF"/>
    <w:rsid w:val="00644E47"/>
    <w:rsid w:val="00647D9D"/>
    <w:rsid w:val="00654485"/>
    <w:rsid w:val="006552BF"/>
    <w:rsid w:val="00660A0E"/>
    <w:rsid w:val="00666D3F"/>
    <w:rsid w:val="006849CE"/>
    <w:rsid w:val="00693A6C"/>
    <w:rsid w:val="006943EA"/>
    <w:rsid w:val="00696D18"/>
    <w:rsid w:val="006A280A"/>
    <w:rsid w:val="006B0A2C"/>
    <w:rsid w:val="006B2EFB"/>
    <w:rsid w:val="006C0A00"/>
    <w:rsid w:val="006C1D76"/>
    <w:rsid w:val="006C204B"/>
    <w:rsid w:val="006D152B"/>
    <w:rsid w:val="006D55A1"/>
    <w:rsid w:val="006E7676"/>
    <w:rsid w:val="006E77F0"/>
    <w:rsid w:val="006F383E"/>
    <w:rsid w:val="006F3C53"/>
    <w:rsid w:val="006F595A"/>
    <w:rsid w:val="00701AF7"/>
    <w:rsid w:val="0071254A"/>
    <w:rsid w:val="00716C42"/>
    <w:rsid w:val="00717983"/>
    <w:rsid w:val="00717DAF"/>
    <w:rsid w:val="00723544"/>
    <w:rsid w:val="00725135"/>
    <w:rsid w:val="007312EA"/>
    <w:rsid w:val="00732AED"/>
    <w:rsid w:val="00734011"/>
    <w:rsid w:val="0073787A"/>
    <w:rsid w:val="00750BFE"/>
    <w:rsid w:val="007538B5"/>
    <w:rsid w:val="007668C6"/>
    <w:rsid w:val="007712F5"/>
    <w:rsid w:val="007720F6"/>
    <w:rsid w:val="007762B7"/>
    <w:rsid w:val="00777D32"/>
    <w:rsid w:val="00785BF4"/>
    <w:rsid w:val="00791789"/>
    <w:rsid w:val="0079567C"/>
    <w:rsid w:val="007A1995"/>
    <w:rsid w:val="007A20EE"/>
    <w:rsid w:val="007A4F1D"/>
    <w:rsid w:val="007B1011"/>
    <w:rsid w:val="007B3E65"/>
    <w:rsid w:val="007C046A"/>
    <w:rsid w:val="007D11D1"/>
    <w:rsid w:val="007D3414"/>
    <w:rsid w:val="007E251F"/>
    <w:rsid w:val="007E52AD"/>
    <w:rsid w:val="007E5A0B"/>
    <w:rsid w:val="007E7597"/>
    <w:rsid w:val="007E7ECB"/>
    <w:rsid w:val="007F3B97"/>
    <w:rsid w:val="007F484F"/>
    <w:rsid w:val="00802EC3"/>
    <w:rsid w:val="00803B0F"/>
    <w:rsid w:val="00807426"/>
    <w:rsid w:val="00811501"/>
    <w:rsid w:val="0082256C"/>
    <w:rsid w:val="00830D9A"/>
    <w:rsid w:val="0084408E"/>
    <w:rsid w:val="0084641F"/>
    <w:rsid w:val="00851BF5"/>
    <w:rsid w:val="00853ADD"/>
    <w:rsid w:val="008628C8"/>
    <w:rsid w:val="008834CA"/>
    <w:rsid w:val="00884018"/>
    <w:rsid w:val="008908AC"/>
    <w:rsid w:val="008911EC"/>
    <w:rsid w:val="0089156C"/>
    <w:rsid w:val="008915A3"/>
    <w:rsid w:val="008A1AE2"/>
    <w:rsid w:val="008A33B9"/>
    <w:rsid w:val="008A3486"/>
    <w:rsid w:val="008A3629"/>
    <w:rsid w:val="008A4976"/>
    <w:rsid w:val="008B21E8"/>
    <w:rsid w:val="008C4C23"/>
    <w:rsid w:val="008D5A5C"/>
    <w:rsid w:val="008D6734"/>
    <w:rsid w:val="008E085E"/>
    <w:rsid w:val="008E09BB"/>
    <w:rsid w:val="008E0D31"/>
    <w:rsid w:val="008E4647"/>
    <w:rsid w:val="008E7627"/>
    <w:rsid w:val="008F41F0"/>
    <w:rsid w:val="0090519E"/>
    <w:rsid w:val="00914CBC"/>
    <w:rsid w:val="00916A96"/>
    <w:rsid w:val="009318CC"/>
    <w:rsid w:val="00931F1C"/>
    <w:rsid w:val="00934608"/>
    <w:rsid w:val="009353B8"/>
    <w:rsid w:val="0093776B"/>
    <w:rsid w:val="00942926"/>
    <w:rsid w:val="00955245"/>
    <w:rsid w:val="009570A6"/>
    <w:rsid w:val="00957AEA"/>
    <w:rsid w:val="00960E03"/>
    <w:rsid w:val="00961EEA"/>
    <w:rsid w:val="009643A4"/>
    <w:rsid w:val="00965EA6"/>
    <w:rsid w:val="00975276"/>
    <w:rsid w:val="00981845"/>
    <w:rsid w:val="0099229F"/>
    <w:rsid w:val="0099567D"/>
    <w:rsid w:val="009A0749"/>
    <w:rsid w:val="009A2470"/>
    <w:rsid w:val="009B748D"/>
    <w:rsid w:val="009C000D"/>
    <w:rsid w:val="009C0649"/>
    <w:rsid w:val="009C6EDC"/>
    <w:rsid w:val="009D719F"/>
    <w:rsid w:val="009E3BCD"/>
    <w:rsid w:val="009E4380"/>
    <w:rsid w:val="009E580A"/>
    <w:rsid w:val="009E6502"/>
    <w:rsid w:val="009E6BE9"/>
    <w:rsid w:val="009F2C66"/>
    <w:rsid w:val="009F43A6"/>
    <w:rsid w:val="009F4A63"/>
    <w:rsid w:val="00A01BE8"/>
    <w:rsid w:val="00A05F87"/>
    <w:rsid w:val="00A06BD5"/>
    <w:rsid w:val="00A1005E"/>
    <w:rsid w:val="00A2130E"/>
    <w:rsid w:val="00A30D23"/>
    <w:rsid w:val="00A41053"/>
    <w:rsid w:val="00A425B9"/>
    <w:rsid w:val="00A45966"/>
    <w:rsid w:val="00A56A5A"/>
    <w:rsid w:val="00A757F5"/>
    <w:rsid w:val="00A7668D"/>
    <w:rsid w:val="00A854AF"/>
    <w:rsid w:val="00A863FD"/>
    <w:rsid w:val="00A8669B"/>
    <w:rsid w:val="00AA05AF"/>
    <w:rsid w:val="00AA1985"/>
    <w:rsid w:val="00AA2F4E"/>
    <w:rsid w:val="00AB1C74"/>
    <w:rsid w:val="00AB6194"/>
    <w:rsid w:val="00AB6369"/>
    <w:rsid w:val="00AB742A"/>
    <w:rsid w:val="00AC0619"/>
    <w:rsid w:val="00AC54FE"/>
    <w:rsid w:val="00AC5F90"/>
    <w:rsid w:val="00AD21A5"/>
    <w:rsid w:val="00AD78FD"/>
    <w:rsid w:val="00AE57B5"/>
    <w:rsid w:val="00AE6E4E"/>
    <w:rsid w:val="00AF2AA7"/>
    <w:rsid w:val="00AF4803"/>
    <w:rsid w:val="00B01697"/>
    <w:rsid w:val="00B10CF7"/>
    <w:rsid w:val="00B155A3"/>
    <w:rsid w:val="00B2128D"/>
    <w:rsid w:val="00B25C88"/>
    <w:rsid w:val="00B26027"/>
    <w:rsid w:val="00B2730C"/>
    <w:rsid w:val="00B32BDD"/>
    <w:rsid w:val="00B3602C"/>
    <w:rsid w:val="00B3743C"/>
    <w:rsid w:val="00B37485"/>
    <w:rsid w:val="00B45D93"/>
    <w:rsid w:val="00B525DC"/>
    <w:rsid w:val="00B56050"/>
    <w:rsid w:val="00B60CF0"/>
    <w:rsid w:val="00B65911"/>
    <w:rsid w:val="00B677F7"/>
    <w:rsid w:val="00B67E4C"/>
    <w:rsid w:val="00B716F7"/>
    <w:rsid w:val="00B71879"/>
    <w:rsid w:val="00B75B40"/>
    <w:rsid w:val="00B807BF"/>
    <w:rsid w:val="00B81A7B"/>
    <w:rsid w:val="00B9121E"/>
    <w:rsid w:val="00BA02FD"/>
    <w:rsid w:val="00BA1797"/>
    <w:rsid w:val="00BA6A86"/>
    <w:rsid w:val="00BB13A7"/>
    <w:rsid w:val="00BB3BFF"/>
    <w:rsid w:val="00BB7B9F"/>
    <w:rsid w:val="00BC2191"/>
    <w:rsid w:val="00BC5807"/>
    <w:rsid w:val="00BC7F75"/>
    <w:rsid w:val="00BD2F46"/>
    <w:rsid w:val="00BD4590"/>
    <w:rsid w:val="00C01930"/>
    <w:rsid w:val="00C05B70"/>
    <w:rsid w:val="00C23FC9"/>
    <w:rsid w:val="00C27B44"/>
    <w:rsid w:val="00C33ED8"/>
    <w:rsid w:val="00C365F1"/>
    <w:rsid w:val="00C4034B"/>
    <w:rsid w:val="00C40405"/>
    <w:rsid w:val="00C41AEC"/>
    <w:rsid w:val="00C41E62"/>
    <w:rsid w:val="00C45A65"/>
    <w:rsid w:val="00C5447E"/>
    <w:rsid w:val="00C57DD5"/>
    <w:rsid w:val="00C7331F"/>
    <w:rsid w:val="00C87D80"/>
    <w:rsid w:val="00CA5BDB"/>
    <w:rsid w:val="00CB58BC"/>
    <w:rsid w:val="00CB7A07"/>
    <w:rsid w:val="00CC4F9C"/>
    <w:rsid w:val="00CD3598"/>
    <w:rsid w:val="00CD7283"/>
    <w:rsid w:val="00CF136F"/>
    <w:rsid w:val="00CF6F99"/>
    <w:rsid w:val="00D0294E"/>
    <w:rsid w:val="00D2293E"/>
    <w:rsid w:val="00D24C26"/>
    <w:rsid w:val="00D337AA"/>
    <w:rsid w:val="00D41F4A"/>
    <w:rsid w:val="00D509E3"/>
    <w:rsid w:val="00D64E4A"/>
    <w:rsid w:val="00D65A19"/>
    <w:rsid w:val="00D66AD4"/>
    <w:rsid w:val="00D67AB7"/>
    <w:rsid w:val="00D72DCE"/>
    <w:rsid w:val="00D829AB"/>
    <w:rsid w:val="00D85478"/>
    <w:rsid w:val="00D87AAA"/>
    <w:rsid w:val="00DB39F5"/>
    <w:rsid w:val="00DB3F65"/>
    <w:rsid w:val="00DC2190"/>
    <w:rsid w:val="00DC2EE0"/>
    <w:rsid w:val="00DD25C0"/>
    <w:rsid w:val="00DD5E28"/>
    <w:rsid w:val="00DE01A2"/>
    <w:rsid w:val="00DE76EB"/>
    <w:rsid w:val="00DF2B52"/>
    <w:rsid w:val="00E0202F"/>
    <w:rsid w:val="00E0284C"/>
    <w:rsid w:val="00E043E7"/>
    <w:rsid w:val="00E21D22"/>
    <w:rsid w:val="00E21E3E"/>
    <w:rsid w:val="00E336F5"/>
    <w:rsid w:val="00E36593"/>
    <w:rsid w:val="00E42050"/>
    <w:rsid w:val="00E43249"/>
    <w:rsid w:val="00E456E2"/>
    <w:rsid w:val="00E4779F"/>
    <w:rsid w:val="00E61ABE"/>
    <w:rsid w:val="00E62EE5"/>
    <w:rsid w:val="00E653D7"/>
    <w:rsid w:val="00E72F0B"/>
    <w:rsid w:val="00E76C43"/>
    <w:rsid w:val="00E87B23"/>
    <w:rsid w:val="00E9164A"/>
    <w:rsid w:val="00EB0E2D"/>
    <w:rsid w:val="00EB5A90"/>
    <w:rsid w:val="00EC3DBD"/>
    <w:rsid w:val="00ED1501"/>
    <w:rsid w:val="00EF3490"/>
    <w:rsid w:val="00F00353"/>
    <w:rsid w:val="00F05002"/>
    <w:rsid w:val="00F065CF"/>
    <w:rsid w:val="00F06633"/>
    <w:rsid w:val="00F07275"/>
    <w:rsid w:val="00F12D93"/>
    <w:rsid w:val="00F14D92"/>
    <w:rsid w:val="00F26B79"/>
    <w:rsid w:val="00F26DA5"/>
    <w:rsid w:val="00F57D5D"/>
    <w:rsid w:val="00F65D69"/>
    <w:rsid w:val="00F66C0C"/>
    <w:rsid w:val="00F8466C"/>
    <w:rsid w:val="00F85F00"/>
    <w:rsid w:val="00F86DD9"/>
    <w:rsid w:val="00F8746A"/>
    <w:rsid w:val="00F927F2"/>
    <w:rsid w:val="00F97FD3"/>
    <w:rsid w:val="00FB1021"/>
    <w:rsid w:val="00FB2067"/>
    <w:rsid w:val="00FB226E"/>
    <w:rsid w:val="00FB30C1"/>
    <w:rsid w:val="00FD4A58"/>
    <w:rsid w:val="00FD5ACE"/>
    <w:rsid w:val="00FD67FB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405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17"/>
      <w:szCs w:val="17"/>
      <w:lang w:eastAsia="ru-RU"/>
    </w:rPr>
  </w:style>
  <w:style w:type="paragraph" w:customStyle="1" w:styleId="head">
    <w:name w:val="head"/>
    <w:basedOn w:val="a"/>
    <w:uiPriority w:val="99"/>
    <w:rsid w:val="00C40405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405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17"/>
      <w:szCs w:val="17"/>
      <w:lang w:eastAsia="ru-RU"/>
    </w:rPr>
  </w:style>
  <w:style w:type="paragraph" w:customStyle="1" w:styleId="head">
    <w:name w:val="head"/>
    <w:basedOn w:val="a"/>
    <w:uiPriority w:val="99"/>
    <w:rsid w:val="00C40405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Бабаян Майяннета Шаваршовна</dc:creator>
  <cp:lastModifiedBy>Бабаян Майяннета Шаваршовна</cp:lastModifiedBy>
  <cp:revision>2</cp:revision>
  <dcterms:created xsi:type="dcterms:W3CDTF">2017-05-02T14:25:00Z</dcterms:created>
  <dcterms:modified xsi:type="dcterms:W3CDTF">2017-05-02T14:30:00Z</dcterms:modified>
</cp:coreProperties>
</file>