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E4" w:rsidRPr="00481248" w:rsidRDefault="00AE54E4" w:rsidP="00AE5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81248">
        <w:rPr>
          <w:b/>
          <w:sz w:val="28"/>
          <w:szCs w:val="28"/>
        </w:rPr>
        <w:t xml:space="preserve">Навой Антон </w:t>
      </w:r>
      <w:proofErr w:type="spellStart"/>
      <w:r w:rsidRPr="00481248">
        <w:rPr>
          <w:b/>
          <w:sz w:val="28"/>
          <w:szCs w:val="28"/>
        </w:rPr>
        <w:t>Викентьевич</w:t>
      </w:r>
      <w:proofErr w:type="spellEnd"/>
      <w:r w:rsidRPr="00481248">
        <w:rPr>
          <w:b/>
          <w:sz w:val="28"/>
          <w:szCs w:val="28"/>
        </w:rPr>
        <w:t> – профессор Департамента мировой экономики и мировых финансов, д.э.н.</w:t>
      </w:r>
    </w:p>
    <w:p w:rsidR="00AE54E4" w:rsidRDefault="00AE54E4" w:rsidP="00AE54E4">
      <w:pPr>
        <w:pStyle w:val="1"/>
        <w:jc w:val="center"/>
        <w:rPr>
          <w:b/>
          <w:szCs w:val="28"/>
        </w:rPr>
      </w:pPr>
    </w:p>
    <w:p w:rsidR="00AE54E4" w:rsidRPr="000507B0" w:rsidRDefault="00AE54E4" w:rsidP="00AE54E4">
      <w:pPr>
        <w:pStyle w:val="1"/>
        <w:jc w:val="center"/>
        <w:rPr>
          <w:b/>
          <w:sz w:val="24"/>
        </w:rPr>
      </w:pPr>
      <w:r w:rsidRPr="000507B0">
        <w:rPr>
          <w:b/>
          <w:sz w:val="24"/>
        </w:rPr>
        <w:t>Т Е З И С Ы</w:t>
      </w:r>
    </w:p>
    <w:p w:rsidR="00AE54E4" w:rsidRPr="007D06CB" w:rsidRDefault="00AE54E4" w:rsidP="00AE5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7D06CB">
        <w:rPr>
          <w:b/>
          <w:sz w:val="28"/>
          <w:szCs w:val="28"/>
        </w:rPr>
        <w:t xml:space="preserve">доклада на заседании секции статистики ЦДУ РАН </w:t>
      </w:r>
      <w:r w:rsidR="007D06CB" w:rsidRPr="007D06CB">
        <w:rPr>
          <w:b/>
          <w:sz w:val="28"/>
          <w:szCs w:val="28"/>
        </w:rPr>
        <w:t>11</w:t>
      </w:r>
      <w:r w:rsidRPr="007D06CB">
        <w:rPr>
          <w:b/>
          <w:sz w:val="28"/>
          <w:szCs w:val="28"/>
        </w:rPr>
        <w:t>.0</w:t>
      </w:r>
      <w:r w:rsidR="007D06CB" w:rsidRPr="007D06CB">
        <w:rPr>
          <w:b/>
          <w:sz w:val="28"/>
          <w:szCs w:val="28"/>
        </w:rPr>
        <w:t>4</w:t>
      </w:r>
      <w:r w:rsidRPr="007D06CB">
        <w:rPr>
          <w:b/>
          <w:sz w:val="28"/>
          <w:szCs w:val="28"/>
        </w:rPr>
        <w:t>.201</w:t>
      </w:r>
      <w:r w:rsidR="007D06CB" w:rsidRPr="007D06CB">
        <w:rPr>
          <w:b/>
          <w:sz w:val="28"/>
          <w:szCs w:val="28"/>
        </w:rPr>
        <w:t>9</w:t>
      </w:r>
      <w:r w:rsidRPr="007D06CB">
        <w:rPr>
          <w:b/>
          <w:sz w:val="28"/>
          <w:szCs w:val="28"/>
        </w:rPr>
        <w:t xml:space="preserve"> </w:t>
      </w:r>
    </w:p>
    <w:p w:rsidR="00AE54E4" w:rsidRPr="007D06CB" w:rsidRDefault="00AE54E4" w:rsidP="00AE54E4">
      <w:pPr>
        <w:jc w:val="center"/>
        <w:rPr>
          <w:b/>
          <w:bCs/>
          <w:sz w:val="28"/>
          <w:szCs w:val="28"/>
        </w:rPr>
      </w:pPr>
      <w:r w:rsidRPr="007D06CB">
        <w:rPr>
          <w:b/>
          <w:sz w:val="28"/>
          <w:szCs w:val="28"/>
        </w:rPr>
        <w:t>по теме: «</w:t>
      </w:r>
      <w:r w:rsidR="00677407" w:rsidRPr="007D06CB">
        <w:rPr>
          <w:b/>
          <w:sz w:val="28"/>
          <w:szCs w:val="28"/>
        </w:rPr>
        <w:t>Международная банковская статистика: методологические принципы составления, аналитические возможности и перспективы разработки в Российской Федерации</w:t>
      </w:r>
      <w:r w:rsidRPr="007D06CB">
        <w:rPr>
          <w:b/>
          <w:bCs/>
          <w:sz w:val="28"/>
          <w:szCs w:val="28"/>
        </w:rPr>
        <w:t>»</w:t>
      </w:r>
    </w:p>
    <w:p w:rsidR="00AE54E4" w:rsidRPr="00CF3B9F" w:rsidRDefault="00AE54E4" w:rsidP="00AE54E4">
      <w:pPr>
        <w:jc w:val="center"/>
        <w:rPr>
          <w:b/>
          <w:bCs/>
        </w:rPr>
      </w:pPr>
    </w:p>
    <w:p w:rsidR="00AE54E4" w:rsidRDefault="003330C9" w:rsidP="00F05AAB">
      <w:pPr>
        <w:pStyle w:val="a8"/>
        <w:numPr>
          <w:ilvl w:val="0"/>
          <w:numId w:val="19"/>
        </w:numPr>
        <w:jc w:val="both"/>
        <w:rPr>
          <w:b/>
        </w:rPr>
      </w:pPr>
      <w:r w:rsidRPr="003330C9">
        <w:rPr>
          <w:b/>
        </w:rPr>
        <w:t>Основные понятия и связь с другими статистическими системами</w:t>
      </w:r>
      <w:bookmarkStart w:id="0" w:name="_GoBack"/>
      <w:bookmarkEnd w:id="0"/>
    </w:p>
    <w:p w:rsidR="003330C9" w:rsidRPr="003330C9" w:rsidRDefault="003330C9" w:rsidP="00F05AAB">
      <w:pPr>
        <w:pStyle w:val="Style3"/>
        <w:widowControl/>
        <w:tabs>
          <w:tab w:val="left" w:pos="1075"/>
        </w:tabs>
        <w:spacing w:line="322" w:lineRule="exact"/>
        <w:ind w:right="24"/>
        <w:rPr>
          <w:rStyle w:val="FontStyle12"/>
        </w:rPr>
      </w:pPr>
      <w:r w:rsidRPr="003330C9">
        <w:rPr>
          <w:rStyle w:val="FontStyle12"/>
          <w:i/>
        </w:rPr>
        <w:t xml:space="preserve">Банки (депозитные организации) </w:t>
      </w:r>
      <w:r w:rsidRPr="003330C9">
        <w:rPr>
          <w:rStyle w:val="FontStyle12"/>
        </w:rPr>
        <w:t>относятся к институциональным секторам статистики вешнего сектора. Банки:</w:t>
      </w:r>
    </w:p>
    <w:p w:rsidR="003330C9" w:rsidRPr="003330C9" w:rsidRDefault="003330C9" w:rsidP="00F05AAB">
      <w:pPr>
        <w:pStyle w:val="Style3"/>
        <w:widowControl/>
        <w:tabs>
          <w:tab w:val="left" w:pos="1075"/>
        </w:tabs>
        <w:spacing w:line="322" w:lineRule="exact"/>
        <w:ind w:right="24"/>
        <w:rPr>
          <w:rStyle w:val="FontStyle12"/>
        </w:rPr>
      </w:pPr>
      <w:r w:rsidRPr="003330C9">
        <w:rPr>
          <w:rStyle w:val="FontStyle12"/>
        </w:rPr>
        <w:t xml:space="preserve">- занимаются финансовым посредничеством как своим основным видом деятельности; </w:t>
      </w:r>
    </w:p>
    <w:p w:rsidR="003330C9" w:rsidRPr="003330C9" w:rsidRDefault="003330C9" w:rsidP="00F05AAB">
      <w:pPr>
        <w:pStyle w:val="Style3"/>
        <w:widowControl/>
        <w:tabs>
          <w:tab w:val="left" w:pos="1075"/>
        </w:tabs>
        <w:spacing w:line="322" w:lineRule="exact"/>
        <w:ind w:right="24"/>
        <w:rPr>
          <w:rStyle w:val="FontStyle12"/>
        </w:rPr>
      </w:pPr>
      <w:r w:rsidRPr="003330C9">
        <w:rPr>
          <w:rStyle w:val="FontStyle12"/>
        </w:rPr>
        <w:t>- принимают обязательства в форме депозитов или финансовых инструментов, являющихся близкими заменителями депозитов (таких как краткосрочные депозитные сертификаты).</w:t>
      </w:r>
    </w:p>
    <w:p w:rsidR="003330C9" w:rsidRDefault="003330C9" w:rsidP="00F05AAB">
      <w:pPr>
        <w:pStyle w:val="Style3"/>
        <w:widowControl/>
        <w:tabs>
          <w:tab w:val="left" w:pos="1075"/>
        </w:tabs>
        <w:spacing w:line="322" w:lineRule="exact"/>
        <w:ind w:right="24"/>
        <w:rPr>
          <w:rStyle w:val="FontStyle12"/>
        </w:rPr>
      </w:pPr>
      <w:r w:rsidRPr="003330C9">
        <w:rPr>
          <w:rStyle w:val="FontStyle12"/>
          <w:i/>
        </w:rPr>
        <w:t>Международная банковская статистика</w:t>
      </w:r>
      <w:r w:rsidRPr="003330C9">
        <w:rPr>
          <w:rStyle w:val="FontStyle12"/>
        </w:rPr>
        <w:t xml:space="preserve"> является элементом статистики внешнего сектора и входит в качестве компонента СНС</w:t>
      </w:r>
      <w:r>
        <w:rPr>
          <w:rStyle w:val="FontStyle12"/>
        </w:rPr>
        <w:t xml:space="preserve">. </w:t>
      </w:r>
      <w:r w:rsidRPr="003330C9">
        <w:rPr>
          <w:rStyle w:val="FontStyle12"/>
        </w:rPr>
        <w:t xml:space="preserve"> </w:t>
      </w:r>
      <w:r>
        <w:rPr>
          <w:rStyle w:val="FontStyle12"/>
        </w:rPr>
        <w:t xml:space="preserve">Операции банковского сектора с международными активами и обязательствами являются частью счетов накопления (финансового счета) и наряду с другими институциональными секторами являются формой чистого кредитования/чистого заимствования у остального мира </w:t>
      </w:r>
    </w:p>
    <w:p w:rsidR="00AE54E4" w:rsidRPr="00994171" w:rsidRDefault="003330C9" w:rsidP="00F05AAB">
      <w:pPr>
        <w:pStyle w:val="Style3"/>
        <w:widowControl/>
        <w:tabs>
          <w:tab w:val="left" w:pos="1075"/>
        </w:tabs>
        <w:spacing w:line="322" w:lineRule="exact"/>
        <w:ind w:right="24"/>
        <w:rPr>
          <w:rStyle w:val="FontStyle12"/>
        </w:rPr>
      </w:pPr>
      <w:r w:rsidRPr="003330C9">
        <w:rPr>
          <w:rStyle w:val="FontStyle12"/>
          <w:i/>
        </w:rPr>
        <w:t>Операции банков с внешними активами и обязательствами</w:t>
      </w:r>
      <w:r>
        <w:rPr>
          <w:rStyle w:val="FontStyle12"/>
        </w:rPr>
        <w:t xml:space="preserve"> включаются в </w:t>
      </w:r>
      <w:r w:rsidRPr="003330C9">
        <w:rPr>
          <w:rStyle w:val="FontStyle12"/>
          <w:i/>
        </w:rPr>
        <w:t>платежный баланс</w:t>
      </w:r>
      <w:r w:rsidR="00AE54E4" w:rsidRPr="00994171">
        <w:rPr>
          <w:rStyle w:val="FontStyle12"/>
        </w:rPr>
        <w:t xml:space="preserve"> - статистическ</w:t>
      </w:r>
      <w:r>
        <w:rPr>
          <w:rStyle w:val="FontStyle12"/>
        </w:rPr>
        <w:t>ую</w:t>
      </w:r>
      <w:r w:rsidR="00AE54E4" w:rsidRPr="00994171">
        <w:rPr>
          <w:rStyle w:val="FontStyle12"/>
        </w:rPr>
        <w:t xml:space="preserve"> систем</w:t>
      </w:r>
      <w:r>
        <w:rPr>
          <w:rStyle w:val="FontStyle12"/>
        </w:rPr>
        <w:t>у</w:t>
      </w:r>
      <w:r w:rsidR="00AE54E4" w:rsidRPr="00994171">
        <w:rPr>
          <w:rStyle w:val="FontStyle12"/>
        </w:rPr>
        <w:t xml:space="preserve">, в которой отражаются все экономические операции (потоки) между резидентами данной страны и резидентами других стран (нерезидентами), которые произошли в течение определенного периода времени. </w:t>
      </w:r>
      <w:r w:rsidRPr="003330C9">
        <w:rPr>
          <w:rStyle w:val="FontStyle12"/>
          <w:i/>
        </w:rPr>
        <w:t>Остатки внешних активов и обязательств</w:t>
      </w:r>
      <w:r>
        <w:rPr>
          <w:rStyle w:val="FontStyle12"/>
          <w:i/>
        </w:rPr>
        <w:t xml:space="preserve"> банков</w:t>
      </w:r>
      <w:r>
        <w:rPr>
          <w:rStyle w:val="FontStyle12"/>
        </w:rPr>
        <w:t xml:space="preserve"> включаются в состав </w:t>
      </w:r>
      <w:r>
        <w:rPr>
          <w:rStyle w:val="FontStyle12"/>
          <w:i/>
        </w:rPr>
        <w:t>м</w:t>
      </w:r>
      <w:r w:rsidR="00AE54E4" w:rsidRPr="00150517">
        <w:rPr>
          <w:rStyle w:val="FontStyle12"/>
          <w:i/>
        </w:rPr>
        <w:t>еждународн</w:t>
      </w:r>
      <w:r>
        <w:rPr>
          <w:rStyle w:val="FontStyle12"/>
          <w:i/>
        </w:rPr>
        <w:t>ой</w:t>
      </w:r>
      <w:r w:rsidR="00AE54E4" w:rsidRPr="00150517">
        <w:rPr>
          <w:rStyle w:val="FontStyle12"/>
          <w:i/>
        </w:rPr>
        <w:t xml:space="preserve"> инвестиционн</w:t>
      </w:r>
      <w:r>
        <w:rPr>
          <w:rStyle w:val="FontStyle12"/>
          <w:i/>
        </w:rPr>
        <w:t>ой</w:t>
      </w:r>
      <w:r w:rsidR="00AE54E4" w:rsidRPr="00150517">
        <w:rPr>
          <w:rStyle w:val="FontStyle12"/>
          <w:i/>
        </w:rPr>
        <w:t xml:space="preserve"> позици</w:t>
      </w:r>
      <w:r>
        <w:rPr>
          <w:rStyle w:val="FontStyle12"/>
          <w:i/>
        </w:rPr>
        <w:t>и</w:t>
      </w:r>
      <w:r w:rsidR="00AE54E4" w:rsidRPr="00994171">
        <w:rPr>
          <w:rStyle w:val="FontStyle12"/>
        </w:rPr>
        <w:t xml:space="preserve"> - статистический отчет, составляемый на определенную дату, отражающий стоимостной объем всех финансовых иностранных активов и обязательств страны.</w:t>
      </w:r>
    </w:p>
    <w:p w:rsidR="00677407" w:rsidRDefault="00E921A6" w:rsidP="00F05AAB">
      <w:pPr>
        <w:pStyle w:val="Style3"/>
        <w:widowControl/>
        <w:tabs>
          <w:tab w:val="left" w:pos="1075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 xml:space="preserve">В банковском секторе, наряду с прочими секторами, осуществляется аккумулирование чистых сбережений экономики, формируемых в ходе производственной деятельности, а также в ходе первичного и вторичного перераспределения дохода. </w:t>
      </w:r>
    </w:p>
    <w:p w:rsidR="00E921A6" w:rsidRPr="00E921A6" w:rsidRDefault="00E921A6" w:rsidP="00F05AAB">
      <w:pPr>
        <w:ind w:left="720"/>
        <w:rPr>
          <w:sz w:val="22"/>
          <w:szCs w:val="22"/>
        </w:rPr>
      </w:pPr>
      <w:r w:rsidRPr="005C6CE6">
        <w:rPr>
          <w:sz w:val="22"/>
          <w:szCs w:val="22"/>
          <w:lang w:val="en-US"/>
        </w:rPr>
        <w:t>GDP</w:t>
      </w:r>
      <w:r w:rsidRPr="00E921A6">
        <w:rPr>
          <w:sz w:val="22"/>
          <w:szCs w:val="22"/>
        </w:rPr>
        <w:t xml:space="preserve"> = </w:t>
      </w:r>
      <w:r w:rsidRPr="005C6CE6">
        <w:rPr>
          <w:sz w:val="22"/>
          <w:szCs w:val="22"/>
          <w:lang w:val="en-US"/>
        </w:rPr>
        <w:t>C</w:t>
      </w:r>
      <w:r w:rsidRPr="00E921A6">
        <w:rPr>
          <w:sz w:val="22"/>
          <w:szCs w:val="22"/>
        </w:rPr>
        <w:t xml:space="preserve"> + </w:t>
      </w:r>
      <w:r w:rsidRPr="005C6CE6">
        <w:rPr>
          <w:sz w:val="22"/>
          <w:szCs w:val="22"/>
          <w:lang w:val="en-US"/>
        </w:rPr>
        <w:t>I</w:t>
      </w:r>
      <w:r w:rsidRPr="00E921A6">
        <w:rPr>
          <w:sz w:val="22"/>
          <w:szCs w:val="22"/>
        </w:rPr>
        <w:t xml:space="preserve"> + (</w:t>
      </w:r>
      <w:r w:rsidRPr="005C6CE6">
        <w:rPr>
          <w:sz w:val="22"/>
          <w:szCs w:val="22"/>
          <w:lang w:val="en-US"/>
        </w:rPr>
        <w:t>X</w:t>
      </w:r>
      <w:r w:rsidRPr="00E921A6">
        <w:rPr>
          <w:sz w:val="22"/>
          <w:szCs w:val="22"/>
        </w:rPr>
        <w:t xml:space="preserve"> - </w:t>
      </w:r>
      <w:r w:rsidRPr="005C6CE6">
        <w:rPr>
          <w:sz w:val="22"/>
          <w:szCs w:val="22"/>
          <w:lang w:val="en-US"/>
        </w:rPr>
        <w:t>M</w:t>
      </w:r>
      <w:r w:rsidRPr="00E921A6">
        <w:rPr>
          <w:sz w:val="22"/>
          <w:szCs w:val="22"/>
        </w:rPr>
        <w:t xml:space="preserve">)   </w:t>
      </w:r>
    </w:p>
    <w:p w:rsidR="00E921A6" w:rsidRPr="00E921A6" w:rsidRDefault="00E921A6" w:rsidP="00F05AAB">
      <w:pPr>
        <w:rPr>
          <w:sz w:val="22"/>
          <w:szCs w:val="22"/>
        </w:rPr>
      </w:pPr>
      <w:r w:rsidRPr="00E921A6">
        <w:rPr>
          <w:sz w:val="22"/>
          <w:szCs w:val="22"/>
        </w:rPr>
        <w:tab/>
      </w:r>
      <w:r w:rsidRPr="005C6CE6">
        <w:rPr>
          <w:sz w:val="22"/>
          <w:szCs w:val="22"/>
        </w:rPr>
        <w:t>Таким</w:t>
      </w:r>
      <w:r w:rsidRPr="00E921A6">
        <w:rPr>
          <w:sz w:val="22"/>
          <w:szCs w:val="22"/>
        </w:rPr>
        <w:t xml:space="preserve"> </w:t>
      </w:r>
      <w:r w:rsidRPr="005C6CE6">
        <w:rPr>
          <w:sz w:val="22"/>
          <w:szCs w:val="22"/>
        </w:rPr>
        <w:t>образом</w:t>
      </w:r>
      <w:r w:rsidRPr="00E921A6">
        <w:rPr>
          <w:sz w:val="22"/>
          <w:szCs w:val="22"/>
        </w:rPr>
        <w:t>:</w:t>
      </w:r>
    </w:p>
    <w:p w:rsidR="00E921A6" w:rsidRPr="005C6CE6" w:rsidRDefault="00E921A6" w:rsidP="00F05AAB">
      <w:pPr>
        <w:rPr>
          <w:sz w:val="22"/>
          <w:szCs w:val="22"/>
          <w:lang w:val="en-US"/>
        </w:rPr>
      </w:pPr>
      <w:r w:rsidRPr="00E921A6">
        <w:rPr>
          <w:sz w:val="22"/>
          <w:szCs w:val="22"/>
        </w:rPr>
        <w:tab/>
        <w:t xml:space="preserve"> </w:t>
      </w:r>
      <w:r w:rsidRPr="005C6CE6">
        <w:rPr>
          <w:sz w:val="22"/>
          <w:szCs w:val="22"/>
          <w:lang w:val="en-US"/>
        </w:rPr>
        <w:t>NS = C + I + (X - M) + ( RI - PI ) + ( RCRT - PCRT ) - C</w:t>
      </w:r>
    </w:p>
    <w:p w:rsidR="00E921A6" w:rsidRPr="00E921A6" w:rsidRDefault="00E921A6" w:rsidP="00F05AAB">
      <w:pPr>
        <w:pStyle w:val="Style3"/>
        <w:widowControl/>
        <w:tabs>
          <w:tab w:val="left" w:pos="1075"/>
        </w:tabs>
        <w:spacing w:line="322" w:lineRule="exact"/>
        <w:ind w:right="24"/>
        <w:rPr>
          <w:rStyle w:val="FontStyle12"/>
          <w:lang w:val="en-US"/>
        </w:rPr>
      </w:pPr>
      <w:r w:rsidRPr="005C6CE6">
        <w:rPr>
          <w:sz w:val="22"/>
          <w:szCs w:val="22"/>
          <w:lang w:val="en-US"/>
        </w:rPr>
        <w:t xml:space="preserve"> NS = I + CAB, </w:t>
      </w:r>
      <w:r w:rsidRPr="005C6CE6">
        <w:rPr>
          <w:sz w:val="22"/>
          <w:szCs w:val="22"/>
        </w:rPr>
        <w:t>или</w:t>
      </w:r>
      <w:r w:rsidRPr="005C6CE6">
        <w:rPr>
          <w:sz w:val="22"/>
          <w:szCs w:val="22"/>
          <w:lang w:val="en-US"/>
        </w:rPr>
        <w:t xml:space="preserve"> </w:t>
      </w:r>
      <w:r w:rsidRPr="005C6CE6">
        <w:rPr>
          <w:b/>
          <w:bCs/>
          <w:sz w:val="22"/>
          <w:szCs w:val="22"/>
          <w:lang w:val="en-US"/>
        </w:rPr>
        <w:t>CAB = NS - I</w:t>
      </w:r>
    </w:p>
    <w:p w:rsidR="00677407" w:rsidRDefault="00E921A6" w:rsidP="00F05AAB">
      <w:pPr>
        <w:pStyle w:val="Style3"/>
        <w:widowControl/>
        <w:tabs>
          <w:tab w:val="left" w:pos="1075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 xml:space="preserve">Кроме того, операции банковского сектора с иностранными активами и обязательствами тесно увязаны </w:t>
      </w:r>
      <w:r w:rsidRPr="003330C9">
        <w:rPr>
          <w:rStyle w:val="FontStyle12"/>
          <w:i/>
        </w:rPr>
        <w:t>с денежно-кредитной статистикой</w:t>
      </w:r>
      <w:r>
        <w:rPr>
          <w:rStyle w:val="FontStyle12"/>
        </w:rPr>
        <w:t xml:space="preserve"> </w:t>
      </w:r>
    </w:p>
    <w:p w:rsidR="00E921A6" w:rsidRPr="005C6CE6" w:rsidRDefault="00E921A6" w:rsidP="00F05AAB">
      <w:pPr>
        <w:rPr>
          <w:sz w:val="22"/>
          <w:szCs w:val="22"/>
        </w:rPr>
      </w:pPr>
      <w:r w:rsidRPr="005C6CE6">
        <w:rPr>
          <w:sz w:val="22"/>
          <w:szCs w:val="22"/>
        </w:rPr>
        <w:tab/>
        <w:t>Общий баланс банковской системы страны:</w:t>
      </w:r>
    </w:p>
    <w:p w:rsidR="00E921A6" w:rsidRPr="005C6CE6" w:rsidRDefault="00E921A6" w:rsidP="00F05AAB">
      <w:pPr>
        <w:ind w:left="720"/>
        <w:rPr>
          <w:sz w:val="22"/>
          <w:szCs w:val="22"/>
          <w:lang w:val="en-US"/>
        </w:rPr>
      </w:pPr>
      <w:r w:rsidRPr="005C6CE6">
        <w:rPr>
          <w:sz w:val="22"/>
          <w:szCs w:val="22"/>
          <w:lang w:val="en-US"/>
        </w:rPr>
        <w:t xml:space="preserve">NFA + </w:t>
      </w:r>
      <w:proofErr w:type="spellStart"/>
      <w:r w:rsidRPr="005C6CE6">
        <w:rPr>
          <w:sz w:val="22"/>
          <w:szCs w:val="22"/>
          <w:lang w:val="en-US"/>
        </w:rPr>
        <w:t>NCCg</w:t>
      </w:r>
      <w:proofErr w:type="spellEnd"/>
      <w:r w:rsidRPr="005C6CE6">
        <w:rPr>
          <w:sz w:val="22"/>
          <w:szCs w:val="22"/>
          <w:lang w:val="en-US"/>
        </w:rPr>
        <w:t xml:space="preserve"> +DC + OA = M + K + OL,</w:t>
      </w:r>
    </w:p>
    <w:p w:rsidR="00E921A6" w:rsidRPr="005C6CE6" w:rsidRDefault="00E921A6" w:rsidP="00F05AAB">
      <w:pPr>
        <w:ind w:left="720"/>
        <w:rPr>
          <w:sz w:val="22"/>
          <w:szCs w:val="22"/>
          <w:lang w:val="en-US"/>
        </w:rPr>
      </w:pPr>
    </w:p>
    <w:p w:rsidR="00E921A6" w:rsidRPr="005C6CE6" w:rsidRDefault="00E921A6" w:rsidP="00F05AAB">
      <w:pPr>
        <w:ind w:left="720"/>
        <w:rPr>
          <w:sz w:val="22"/>
          <w:szCs w:val="22"/>
        </w:rPr>
      </w:pPr>
      <w:r w:rsidRPr="005C6CE6">
        <w:rPr>
          <w:sz w:val="22"/>
          <w:szCs w:val="22"/>
        </w:rPr>
        <w:t>NFA - чистые иностранные активы,</w:t>
      </w:r>
    </w:p>
    <w:p w:rsidR="00E921A6" w:rsidRPr="005C6CE6" w:rsidRDefault="00E921A6" w:rsidP="00F05AAB">
      <w:pPr>
        <w:ind w:left="720"/>
        <w:rPr>
          <w:sz w:val="22"/>
          <w:szCs w:val="22"/>
        </w:rPr>
      </w:pPr>
      <w:proofErr w:type="spellStart"/>
      <w:r w:rsidRPr="005C6CE6">
        <w:rPr>
          <w:sz w:val="22"/>
          <w:szCs w:val="22"/>
        </w:rPr>
        <w:t>NCCg</w:t>
      </w:r>
      <w:proofErr w:type="spellEnd"/>
      <w:r w:rsidRPr="005C6CE6">
        <w:rPr>
          <w:sz w:val="22"/>
          <w:szCs w:val="22"/>
        </w:rPr>
        <w:t xml:space="preserve"> - чистый кредит правительству</w:t>
      </w:r>
    </w:p>
    <w:p w:rsidR="00E921A6" w:rsidRPr="005C6CE6" w:rsidRDefault="00E921A6" w:rsidP="00F05AAB">
      <w:pPr>
        <w:ind w:left="720"/>
        <w:rPr>
          <w:sz w:val="22"/>
          <w:szCs w:val="22"/>
        </w:rPr>
      </w:pPr>
      <w:r w:rsidRPr="005C6CE6">
        <w:rPr>
          <w:sz w:val="22"/>
          <w:szCs w:val="22"/>
        </w:rPr>
        <w:t xml:space="preserve">DC - кредит экономике </w:t>
      </w:r>
    </w:p>
    <w:p w:rsidR="00E921A6" w:rsidRPr="005C6CE6" w:rsidRDefault="00E921A6" w:rsidP="00F05AAB">
      <w:pPr>
        <w:ind w:left="720"/>
        <w:rPr>
          <w:sz w:val="22"/>
          <w:szCs w:val="22"/>
        </w:rPr>
      </w:pPr>
      <w:r w:rsidRPr="005C6CE6">
        <w:rPr>
          <w:sz w:val="22"/>
          <w:szCs w:val="22"/>
        </w:rPr>
        <w:t>M - показатель денежной массы («широкие деньги»)</w:t>
      </w:r>
    </w:p>
    <w:p w:rsidR="00E921A6" w:rsidRPr="005C6CE6" w:rsidRDefault="00E921A6" w:rsidP="00F05AAB">
      <w:pPr>
        <w:ind w:left="720"/>
        <w:rPr>
          <w:sz w:val="22"/>
          <w:szCs w:val="22"/>
        </w:rPr>
      </w:pPr>
      <w:r w:rsidRPr="005C6CE6">
        <w:rPr>
          <w:sz w:val="22"/>
          <w:szCs w:val="22"/>
        </w:rPr>
        <w:t>К - собственные средства (капитал)</w:t>
      </w:r>
    </w:p>
    <w:p w:rsidR="00677407" w:rsidRDefault="00E921A6" w:rsidP="00F05AAB">
      <w:pPr>
        <w:pStyle w:val="Style3"/>
        <w:widowControl/>
        <w:tabs>
          <w:tab w:val="left" w:pos="1075"/>
        </w:tabs>
        <w:spacing w:line="322" w:lineRule="exact"/>
        <w:ind w:right="24"/>
        <w:rPr>
          <w:sz w:val="22"/>
          <w:szCs w:val="22"/>
        </w:rPr>
      </w:pPr>
      <w:r w:rsidRPr="005C6CE6">
        <w:rPr>
          <w:sz w:val="22"/>
          <w:szCs w:val="22"/>
        </w:rPr>
        <w:t>OA,OL - прочие активы/обязательства</w:t>
      </w:r>
    </w:p>
    <w:p w:rsidR="003330C9" w:rsidRPr="003330C9" w:rsidRDefault="003330C9" w:rsidP="00F05AAB">
      <w:pPr>
        <w:pStyle w:val="Style3"/>
        <w:widowControl/>
        <w:numPr>
          <w:ilvl w:val="0"/>
          <w:numId w:val="19"/>
        </w:numPr>
        <w:tabs>
          <w:tab w:val="left" w:pos="1075"/>
        </w:tabs>
        <w:spacing w:line="322" w:lineRule="exact"/>
        <w:ind w:right="24"/>
        <w:rPr>
          <w:b/>
        </w:rPr>
      </w:pPr>
      <w:r w:rsidRPr="003330C9">
        <w:rPr>
          <w:b/>
        </w:rPr>
        <w:t>Методологические принципы составления</w:t>
      </w:r>
    </w:p>
    <w:p w:rsidR="00FB4D8F" w:rsidRDefault="00FB4D8F" w:rsidP="00F05AAB">
      <w:pPr>
        <w:pStyle w:val="Style3"/>
        <w:widowControl/>
        <w:tabs>
          <w:tab w:val="left" w:pos="1075"/>
        </w:tabs>
        <w:spacing w:line="322" w:lineRule="exact"/>
        <w:ind w:right="24"/>
      </w:pPr>
      <w:r w:rsidRPr="00FB4D8F">
        <w:lastRenderedPageBreak/>
        <w:t xml:space="preserve">Методологические подходы </w:t>
      </w:r>
      <w:r>
        <w:t xml:space="preserve">к составлению международной </w:t>
      </w:r>
      <w:r w:rsidR="003330C9">
        <w:t xml:space="preserve">банковской </w:t>
      </w:r>
      <w:r>
        <w:t xml:space="preserve">статистики </w:t>
      </w:r>
      <w:r w:rsidRPr="00FB4D8F">
        <w:t xml:space="preserve">изложены в «Руководстве по платежному балансу и международной инвестиционной позиции» (РПБ 6). </w:t>
      </w:r>
    </w:p>
    <w:p w:rsidR="003330C9" w:rsidRPr="00FB4D8F" w:rsidRDefault="003330C9" w:rsidP="00F05AAB">
      <w:pPr>
        <w:pStyle w:val="Style3"/>
        <w:widowControl/>
        <w:tabs>
          <w:tab w:val="left" w:pos="1075"/>
        </w:tabs>
        <w:spacing w:line="322" w:lineRule="exact"/>
        <w:ind w:right="24"/>
      </w:pPr>
      <w:r>
        <w:t>Составление международной банковской статистики</w:t>
      </w:r>
      <w:r w:rsidR="00E22E94">
        <w:t xml:space="preserve">, как элемента статистики внешнего сектора, </w:t>
      </w:r>
      <w:r>
        <w:t xml:space="preserve">в соответствие </w:t>
      </w:r>
      <w:r w:rsidR="00E22E94">
        <w:t xml:space="preserve">с п. 16.3) ст. 4 </w:t>
      </w:r>
      <w:r w:rsidR="00E22E94" w:rsidRPr="00FB4D8F">
        <w:t xml:space="preserve">Федерального закона от 10 июля 2002 года N 86-ФЗ </w:t>
      </w:r>
      <w:r w:rsidR="00E22E94">
        <w:t>«</w:t>
      </w:r>
      <w:r w:rsidR="00E22E94" w:rsidRPr="00FB4D8F">
        <w:t>О Центральном банке Российской Федерации (Банке России)»</w:t>
      </w:r>
      <w:r w:rsidR="00E22E94">
        <w:t xml:space="preserve"> </w:t>
      </w:r>
      <w:r w:rsidR="00E22E94" w:rsidRPr="00E22E94">
        <w:rPr>
          <w:i/>
        </w:rPr>
        <w:t>отнесено к компетенции Банка России.</w:t>
      </w:r>
    </w:p>
    <w:p w:rsidR="00FB4D8F" w:rsidRPr="00FB4D8F" w:rsidRDefault="00E22E94" w:rsidP="00F05AAB">
      <w:pPr>
        <w:pStyle w:val="Style3"/>
        <w:widowControl/>
        <w:tabs>
          <w:tab w:val="left" w:pos="1075"/>
        </w:tabs>
        <w:spacing w:line="322" w:lineRule="exact"/>
        <w:ind w:right="24"/>
      </w:pPr>
      <w:r>
        <w:t>Для разработки международной банковской статистики Банк России на основании ст.</w:t>
      </w:r>
      <w:r w:rsidR="00FB4D8F" w:rsidRPr="00FB4D8F">
        <w:t xml:space="preserve"> 57 </w:t>
      </w:r>
      <w:r>
        <w:t xml:space="preserve">Закона о Банке России устанавливает </w:t>
      </w:r>
      <w:r w:rsidR="00FB4D8F" w:rsidRPr="00FB4D8F">
        <w:t>обязательные для кредитных организаций правила составления и представления статистической отчетности.</w:t>
      </w:r>
      <w:r>
        <w:t xml:space="preserve"> Данная компетенция реализована в </w:t>
      </w:r>
      <w:r w:rsidR="00FB4D8F" w:rsidRPr="00FB4D8F">
        <w:t>Указани</w:t>
      </w:r>
      <w:r>
        <w:t>и</w:t>
      </w:r>
      <w:r w:rsidR="00FB4D8F" w:rsidRPr="00FB4D8F">
        <w:t xml:space="preserve"> Банка России от 08.10.2018 N 4927-У "О перечне, формах и порядке составления и представления форм отчетности кредитных организаций в Центральный банк Российской Федерации</w:t>
      </w:r>
      <w:r>
        <w:t>»</w:t>
      </w:r>
      <w:r w:rsidR="00FB4D8F" w:rsidRPr="00FB4D8F">
        <w:t xml:space="preserve"> </w:t>
      </w:r>
      <w:r>
        <w:t xml:space="preserve">в форме представления </w:t>
      </w:r>
      <w:r w:rsidR="00FB4D8F" w:rsidRPr="00FB4D8F">
        <w:t>отдельные форм отчетности</w:t>
      </w:r>
      <w:r>
        <w:t>.</w:t>
      </w:r>
    </w:p>
    <w:p w:rsidR="00677407" w:rsidRDefault="00FB4D8F" w:rsidP="00F05AAB">
      <w:pPr>
        <w:pStyle w:val="Style3"/>
        <w:widowControl/>
        <w:tabs>
          <w:tab w:val="left" w:pos="1075"/>
        </w:tabs>
        <w:spacing w:line="322" w:lineRule="exact"/>
        <w:ind w:right="24"/>
        <w:rPr>
          <w:rStyle w:val="FontStyle12"/>
        </w:rPr>
      </w:pPr>
      <w:r w:rsidRPr="00FB4D8F">
        <w:rPr>
          <w:i/>
        </w:rPr>
        <w:t xml:space="preserve">Ответственность </w:t>
      </w:r>
      <w:r w:rsidR="00E22E94">
        <w:rPr>
          <w:i/>
        </w:rPr>
        <w:t xml:space="preserve">банков </w:t>
      </w:r>
      <w:r w:rsidRPr="00FB4D8F">
        <w:t xml:space="preserve">закреплена нормой ст. 74 </w:t>
      </w:r>
      <w:r w:rsidR="00E22E94">
        <w:t xml:space="preserve">Закона о Банке России  - </w:t>
      </w:r>
      <w:r w:rsidRPr="00FB4D8F">
        <w:t>в случае непредставления информации, представления неполной или недостоверной информации, Банк России имеет право требовать от кредитной организации устранения выявленных нарушений, взыскивать штраф в размере до 0,1 процента минимального размера уставного капитала либо ограничивать проведение кредитной организацией отдельных операций, на срок до шести месяцев)</w:t>
      </w:r>
      <w:r w:rsidR="00E22E94">
        <w:t>.</w:t>
      </w:r>
    </w:p>
    <w:p w:rsidR="00FB4D8F" w:rsidRDefault="00FB4D8F" w:rsidP="00F05AAB">
      <w:pPr>
        <w:pStyle w:val="Style3"/>
        <w:widowControl/>
        <w:tabs>
          <w:tab w:val="left" w:pos="1075"/>
        </w:tabs>
        <w:spacing w:line="322" w:lineRule="exact"/>
        <w:ind w:right="24"/>
        <w:rPr>
          <w:rStyle w:val="FontStyle12"/>
        </w:rPr>
      </w:pPr>
      <w:r>
        <w:rPr>
          <w:rStyle w:val="FontStyle12"/>
        </w:rPr>
        <w:t xml:space="preserve">Для составления </w:t>
      </w:r>
      <w:r w:rsidR="00E22E94">
        <w:rPr>
          <w:rStyle w:val="FontStyle12"/>
        </w:rPr>
        <w:t xml:space="preserve">международной </w:t>
      </w:r>
      <w:r>
        <w:rPr>
          <w:rStyle w:val="FontStyle12"/>
        </w:rPr>
        <w:t>банковско</w:t>
      </w:r>
      <w:r w:rsidR="00E22E94">
        <w:rPr>
          <w:rStyle w:val="FontStyle12"/>
        </w:rPr>
        <w:t>й</w:t>
      </w:r>
      <w:r>
        <w:rPr>
          <w:rStyle w:val="FontStyle12"/>
        </w:rPr>
        <w:t xml:space="preserve"> </w:t>
      </w:r>
      <w:r w:rsidR="00E22E94">
        <w:rPr>
          <w:rStyle w:val="FontStyle12"/>
        </w:rPr>
        <w:t xml:space="preserve">статистики </w:t>
      </w:r>
      <w:r>
        <w:rPr>
          <w:rStyle w:val="FontStyle12"/>
        </w:rPr>
        <w:t>используются преимущественно сведения, почерпнутые из форм банковской отчетности №0409401 (ежемесячная), №409410 (ежеквартальная)</w:t>
      </w:r>
    </w:p>
    <w:p w:rsidR="00677407" w:rsidRDefault="00FB4D8F" w:rsidP="00F05AAB">
      <w:pPr>
        <w:pStyle w:val="Style3"/>
        <w:widowControl/>
        <w:tabs>
          <w:tab w:val="left" w:pos="1075"/>
        </w:tabs>
        <w:spacing w:line="322" w:lineRule="exact"/>
        <w:ind w:right="24"/>
        <w:rPr>
          <w:b/>
          <w:bCs/>
          <w:i/>
          <w:iCs/>
        </w:rPr>
      </w:pPr>
      <w:r>
        <w:rPr>
          <w:rStyle w:val="FontStyle12"/>
        </w:rPr>
        <w:t>Особенности форм</w:t>
      </w:r>
      <w:r w:rsidR="00E22E94">
        <w:rPr>
          <w:rStyle w:val="FontStyle12"/>
        </w:rPr>
        <w:t>ы</w:t>
      </w:r>
      <w:r>
        <w:rPr>
          <w:rStyle w:val="FontStyle12"/>
        </w:rPr>
        <w:t xml:space="preserve"> отчетности №</w:t>
      </w:r>
      <w:r w:rsidRPr="00FB4D8F">
        <w:rPr>
          <w:b/>
          <w:bCs/>
          <w:i/>
          <w:iCs/>
        </w:rPr>
        <w:t>0409401</w:t>
      </w:r>
      <w:r>
        <w:rPr>
          <w:b/>
          <w:bCs/>
          <w:i/>
          <w:iCs/>
        </w:rPr>
        <w:t xml:space="preserve"> </w:t>
      </w:r>
      <w:r w:rsidRPr="00FB4D8F">
        <w:rPr>
          <w:b/>
          <w:bCs/>
          <w:i/>
          <w:iCs/>
        </w:rPr>
        <w:t>«Отчет уполномоченного банка об иностранных операциях»</w:t>
      </w:r>
      <w:r>
        <w:rPr>
          <w:b/>
          <w:bCs/>
          <w:i/>
          <w:iCs/>
        </w:rPr>
        <w:t xml:space="preserve"> и </w:t>
      </w:r>
      <w:r w:rsidRPr="00FB4D8F">
        <w:rPr>
          <w:b/>
          <w:bCs/>
          <w:i/>
          <w:iCs/>
        </w:rPr>
        <w:t>0409410</w:t>
      </w:r>
      <w:r>
        <w:rPr>
          <w:b/>
          <w:bCs/>
          <w:i/>
          <w:iCs/>
        </w:rPr>
        <w:t xml:space="preserve"> </w:t>
      </w:r>
      <w:r w:rsidRPr="00FB4D8F">
        <w:rPr>
          <w:b/>
          <w:bCs/>
          <w:i/>
          <w:iCs/>
        </w:rPr>
        <w:t>«Сведения об активах и пассивах уполномоченного банка</w:t>
      </w:r>
      <w:r>
        <w:rPr>
          <w:b/>
          <w:bCs/>
          <w:i/>
          <w:iCs/>
        </w:rPr>
        <w:t xml:space="preserve"> </w:t>
      </w:r>
      <w:r w:rsidRPr="00FB4D8F">
        <w:rPr>
          <w:b/>
          <w:bCs/>
          <w:i/>
          <w:iCs/>
        </w:rPr>
        <w:t>по видам валют и странам»</w:t>
      </w:r>
      <w:r>
        <w:rPr>
          <w:b/>
          <w:bCs/>
          <w:i/>
          <w:iCs/>
        </w:rPr>
        <w:t>.</w:t>
      </w:r>
    </w:p>
    <w:p w:rsidR="00FB4D8F" w:rsidRPr="00FB4D8F" w:rsidRDefault="00FB4D8F" w:rsidP="00F05AAB">
      <w:pPr>
        <w:pStyle w:val="Style3"/>
        <w:widowControl/>
        <w:tabs>
          <w:tab w:val="left" w:pos="1075"/>
        </w:tabs>
        <w:spacing w:line="322" w:lineRule="exact"/>
        <w:ind w:right="23" w:firstLine="709"/>
      </w:pPr>
      <w:r>
        <w:t xml:space="preserve">- </w:t>
      </w:r>
      <w:r w:rsidRPr="00FB4D8F">
        <w:t xml:space="preserve">появилась исторически одной из первых, отражает только собственные операции российских банков с компаниями и банками </w:t>
      </w:r>
      <w:r w:rsidR="00E22E94">
        <w:t>–</w:t>
      </w:r>
      <w:r w:rsidRPr="00FB4D8F">
        <w:t xml:space="preserve"> нерезидентами</w:t>
      </w:r>
      <w:r w:rsidR="00E22E94">
        <w:t>;</w:t>
      </w:r>
    </w:p>
    <w:p w:rsidR="00FB4D8F" w:rsidRPr="00FB4D8F" w:rsidRDefault="00FB4D8F" w:rsidP="00F05AAB">
      <w:pPr>
        <w:pStyle w:val="Style3"/>
        <w:widowControl/>
        <w:tabs>
          <w:tab w:val="left" w:pos="1075"/>
        </w:tabs>
        <w:spacing w:line="322" w:lineRule="exact"/>
        <w:ind w:right="23" w:firstLine="709"/>
      </w:pPr>
      <w:r>
        <w:t>-у</w:t>
      </w:r>
      <w:r w:rsidRPr="00FB4D8F">
        <w:t>чет на основе системы ITRS (</w:t>
      </w:r>
      <w:r w:rsidR="00E22E94">
        <w:t>пооперационный учет</w:t>
      </w:r>
      <w:r w:rsidRPr="00FB4D8F">
        <w:t>), представляющей охват всех транзакций между банками-резидентами и нерезидентами</w:t>
      </w:r>
      <w:r w:rsidR="00E22E94">
        <w:t>;</w:t>
      </w:r>
    </w:p>
    <w:p w:rsidR="00FB4D8F" w:rsidRPr="00FB4D8F" w:rsidRDefault="00FB4D8F" w:rsidP="00F05AAB">
      <w:pPr>
        <w:pStyle w:val="Style3"/>
        <w:widowControl/>
        <w:tabs>
          <w:tab w:val="left" w:pos="1075"/>
        </w:tabs>
        <w:spacing w:line="322" w:lineRule="exact"/>
        <w:ind w:right="23" w:firstLine="709"/>
      </w:pPr>
      <w:r>
        <w:t>-о</w:t>
      </w:r>
      <w:r w:rsidRPr="00FB4D8F">
        <w:t>сновным источником информации выступают сведения о банковских транзакциях, отражаемых в бухгалтерском балансе кредитных организаций</w:t>
      </w:r>
      <w:r w:rsidR="00E22E94">
        <w:t>;</w:t>
      </w:r>
    </w:p>
    <w:p w:rsidR="00FB4D8F" w:rsidRDefault="00FB4D8F" w:rsidP="00F05AAB">
      <w:pPr>
        <w:pStyle w:val="Style3"/>
        <w:widowControl/>
        <w:tabs>
          <w:tab w:val="left" w:pos="1075"/>
        </w:tabs>
        <w:spacing w:line="322" w:lineRule="exact"/>
        <w:ind w:right="23" w:firstLine="709"/>
        <w:rPr>
          <w:rStyle w:val="FontStyle12"/>
        </w:rPr>
      </w:pPr>
      <w:r>
        <w:t>- с</w:t>
      </w:r>
      <w:r w:rsidRPr="00FB4D8F">
        <w:t>труктура отчета близка к структуре международной инвестиционной позиции</w:t>
      </w:r>
      <w:r w:rsidR="00E22E94">
        <w:t>.</w:t>
      </w:r>
    </w:p>
    <w:p w:rsidR="00FB4D8F" w:rsidRDefault="00FB4D8F" w:rsidP="00F05AAB">
      <w:pPr>
        <w:pStyle w:val="Style3"/>
        <w:widowControl/>
        <w:tabs>
          <w:tab w:val="left" w:pos="1075"/>
        </w:tabs>
        <w:spacing w:line="322" w:lineRule="exact"/>
        <w:ind w:right="23" w:firstLine="709"/>
        <w:rPr>
          <w:b/>
          <w:bCs/>
          <w:i/>
          <w:iCs/>
        </w:rPr>
      </w:pPr>
      <w:r>
        <w:rPr>
          <w:rStyle w:val="FontStyle12"/>
        </w:rPr>
        <w:t>Форма №</w:t>
      </w:r>
      <w:r w:rsidRPr="00FB4D8F">
        <w:rPr>
          <w:b/>
          <w:bCs/>
          <w:i/>
          <w:iCs/>
        </w:rPr>
        <w:t>04094</w:t>
      </w:r>
      <w:r>
        <w:rPr>
          <w:b/>
          <w:bCs/>
          <w:i/>
          <w:iCs/>
        </w:rPr>
        <w:t>10</w:t>
      </w:r>
    </w:p>
    <w:p w:rsidR="00FB4D8F" w:rsidRPr="00FB4D8F" w:rsidRDefault="00FB4D8F" w:rsidP="00F05AAB">
      <w:pPr>
        <w:pStyle w:val="Style3"/>
        <w:widowControl/>
        <w:tabs>
          <w:tab w:val="left" w:pos="1075"/>
        </w:tabs>
        <w:spacing w:line="240" w:lineRule="auto"/>
        <w:ind w:right="23" w:firstLine="709"/>
      </w:pPr>
      <w:r>
        <w:t>-</w:t>
      </w:r>
      <w:r w:rsidRPr="00FB4D8F">
        <w:t xml:space="preserve"> разработана в соответствии с рекомендациями БМР, она отражает географическую </w:t>
      </w:r>
      <w:r w:rsidR="00E22E94">
        <w:t xml:space="preserve">м валютную </w:t>
      </w:r>
      <w:r w:rsidRPr="00FB4D8F">
        <w:t xml:space="preserve">структуру </w:t>
      </w:r>
      <w:r w:rsidR="00E22E94">
        <w:t xml:space="preserve">внешних активов и обязательств </w:t>
      </w:r>
      <w:r w:rsidRPr="00FB4D8F">
        <w:t>российских банков</w:t>
      </w:r>
      <w:r w:rsidR="00E22E94">
        <w:t>;</w:t>
      </w:r>
    </w:p>
    <w:p w:rsidR="00FB4D8F" w:rsidRPr="00FB4D8F" w:rsidRDefault="00FB4D8F" w:rsidP="00F05AAB">
      <w:pPr>
        <w:pStyle w:val="Style3"/>
        <w:widowControl/>
        <w:tabs>
          <w:tab w:val="left" w:pos="1075"/>
        </w:tabs>
        <w:spacing w:line="240" w:lineRule="auto"/>
        <w:ind w:right="23" w:firstLine="709"/>
      </w:pPr>
      <w:r>
        <w:t>-у</w:t>
      </w:r>
      <w:r w:rsidRPr="00FB4D8F">
        <w:t>чет на основе остатков активов и обязательств</w:t>
      </w:r>
      <w:r w:rsidR="00E22E94">
        <w:t>, с</w:t>
      </w:r>
      <w:r w:rsidR="00E22E94" w:rsidRPr="00FB4D8F">
        <w:t>труктура отчета соответствует сведениям об остатках в международной инвестиционной позиции</w:t>
      </w:r>
      <w:r w:rsidR="00E22E94">
        <w:t>;</w:t>
      </w:r>
    </w:p>
    <w:p w:rsidR="00EE12F4" w:rsidRDefault="00EE12F4" w:rsidP="00F05AAB">
      <w:pPr>
        <w:pStyle w:val="Style3"/>
        <w:widowControl/>
        <w:tabs>
          <w:tab w:val="left" w:pos="1075"/>
        </w:tabs>
        <w:spacing w:line="322" w:lineRule="exact"/>
        <w:ind w:right="23" w:firstLine="709"/>
        <w:rPr>
          <w:rStyle w:val="FontStyle12"/>
        </w:rPr>
      </w:pPr>
      <w:r>
        <w:rPr>
          <w:rStyle w:val="FontStyle12"/>
        </w:rPr>
        <w:t xml:space="preserve">На основе форм отчетности </w:t>
      </w:r>
      <w:r w:rsidR="00E22E94">
        <w:rPr>
          <w:rStyle w:val="FontStyle12"/>
        </w:rPr>
        <w:t xml:space="preserve">Банком России </w:t>
      </w:r>
      <w:r>
        <w:rPr>
          <w:rStyle w:val="FontStyle12"/>
        </w:rPr>
        <w:t xml:space="preserve">формируются </w:t>
      </w:r>
      <w:r w:rsidRPr="00E22E94">
        <w:rPr>
          <w:rStyle w:val="FontStyle12"/>
          <w:i/>
        </w:rPr>
        <w:t>следующие официальные публикации</w:t>
      </w:r>
      <w:r>
        <w:rPr>
          <w:rStyle w:val="FontStyle12"/>
        </w:rPr>
        <w:t>:</w:t>
      </w:r>
    </w:p>
    <w:p w:rsidR="00EE12F4" w:rsidRDefault="00EE12F4" w:rsidP="00F05AAB">
      <w:pPr>
        <w:pStyle w:val="Style3"/>
        <w:widowControl/>
        <w:tabs>
          <w:tab w:val="left" w:pos="1075"/>
        </w:tabs>
        <w:spacing w:line="240" w:lineRule="auto"/>
        <w:ind w:right="23" w:firstLine="709"/>
      </w:pPr>
      <w:r>
        <w:t>-</w:t>
      </w:r>
      <w:r w:rsidRPr="00EE12F4">
        <w:t>Международная инвестиционная позиция банковского сектора Российской Федерации</w:t>
      </w:r>
      <w:r w:rsidR="00E22E94">
        <w:t>.</w:t>
      </w:r>
    </w:p>
    <w:p w:rsidR="00EE12F4" w:rsidRDefault="00EE12F4" w:rsidP="00F05AAB">
      <w:pPr>
        <w:pStyle w:val="Style3"/>
        <w:widowControl/>
        <w:tabs>
          <w:tab w:val="left" w:pos="1075"/>
        </w:tabs>
        <w:spacing w:line="240" w:lineRule="auto"/>
        <w:ind w:right="23" w:firstLine="709"/>
        <w:rPr>
          <w:rStyle w:val="FontStyle12"/>
        </w:rPr>
      </w:pPr>
      <w:r>
        <w:rPr>
          <w:rStyle w:val="FontStyle12"/>
        </w:rPr>
        <w:t>-</w:t>
      </w:r>
      <w:r w:rsidRPr="00EE12F4">
        <w:rPr>
          <w:rStyle w:val="FontStyle12"/>
        </w:rPr>
        <w:t>Динамика иностранных активов и обязательств банковского сектора Российской Федерации</w:t>
      </w:r>
      <w:r w:rsidR="00E22E94">
        <w:rPr>
          <w:rStyle w:val="FontStyle12"/>
        </w:rPr>
        <w:t>.</w:t>
      </w:r>
    </w:p>
    <w:p w:rsidR="00EE12F4" w:rsidRDefault="00EE12F4" w:rsidP="00F05AAB">
      <w:pPr>
        <w:pStyle w:val="Style3"/>
        <w:widowControl/>
        <w:tabs>
          <w:tab w:val="left" w:pos="1075"/>
        </w:tabs>
        <w:spacing w:line="240" w:lineRule="auto"/>
        <w:ind w:right="23" w:firstLine="709"/>
        <w:rPr>
          <w:rStyle w:val="FontStyle12"/>
        </w:rPr>
      </w:pPr>
      <w:r>
        <w:rPr>
          <w:rStyle w:val="FontStyle12"/>
        </w:rPr>
        <w:t xml:space="preserve">- </w:t>
      </w:r>
      <w:r w:rsidRPr="00EE12F4">
        <w:rPr>
          <w:rStyle w:val="FontStyle12"/>
        </w:rPr>
        <w:t>Валютная структура иностранных активов и обязательств банковского сектора Российской Федерации</w:t>
      </w:r>
      <w:r w:rsidR="00E22E94">
        <w:rPr>
          <w:rStyle w:val="FontStyle12"/>
        </w:rPr>
        <w:t>.</w:t>
      </w:r>
    </w:p>
    <w:p w:rsidR="00EE12F4" w:rsidRDefault="00EE12F4" w:rsidP="00F05AAB">
      <w:pPr>
        <w:pStyle w:val="Style3"/>
        <w:widowControl/>
        <w:tabs>
          <w:tab w:val="left" w:pos="1075"/>
        </w:tabs>
        <w:spacing w:line="240" w:lineRule="auto"/>
        <w:ind w:right="23" w:firstLine="709"/>
        <w:rPr>
          <w:rStyle w:val="FontStyle12"/>
        </w:rPr>
      </w:pPr>
      <w:r>
        <w:rPr>
          <w:rStyle w:val="FontStyle12"/>
        </w:rPr>
        <w:lastRenderedPageBreak/>
        <w:t xml:space="preserve">- </w:t>
      </w:r>
      <w:r w:rsidRPr="00EE12F4">
        <w:rPr>
          <w:rStyle w:val="FontStyle12"/>
        </w:rPr>
        <w:t>Географическое распределение иностранных активов и обязательств банковского сектора Российской Федерации</w:t>
      </w:r>
      <w:r w:rsidR="00E22E94">
        <w:rPr>
          <w:rStyle w:val="FontStyle12"/>
        </w:rPr>
        <w:t>.</w:t>
      </w:r>
    </w:p>
    <w:p w:rsidR="00EE12F4" w:rsidRDefault="00EE12F4" w:rsidP="00F05AAB">
      <w:pPr>
        <w:pStyle w:val="Style3"/>
        <w:widowControl/>
        <w:tabs>
          <w:tab w:val="left" w:pos="1075"/>
        </w:tabs>
        <w:spacing w:line="240" w:lineRule="auto"/>
        <w:ind w:right="23" w:firstLine="709"/>
        <w:rPr>
          <w:rStyle w:val="FontStyle12"/>
        </w:rPr>
      </w:pPr>
      <w:r>
        <w:rPr>
          <w:rStyle w:val="FontStyle12"/>
        </w:rPr>
        <w:t xml:space="preserve">- </w:t>
      </w:r>
      <w:r w:rsidRPr="00EE12F4">
        <w:rPr>
          <w:rStyle w:val="FontStyle12"/>
        </w:rPr>
        <w:t>Производные финансовые инструменты банковского сектора Российской Федерации с нерезидентами</w:t>
      </w:r>
      <w:r w:rsidR="00E22E94">
        <w:rPr>
          <w:rStyle w:val="FontStyle12"/>
        </w:rPr>
        <w:t>.</w:t>
      </w:r>
    </w:p>
    <w:p w:rsidR="00677407" w:rsidRDefault="00FB4D8F" w:rsidP="00F05AAB">
      <w:pPr>
        <w:pStyle w:val="Style3"/>
        <w:widowControl/>
        <w:tabs>
          <w:tab w:val="left" w:pos="1075"/>
        </w:tabs>
        <w:spacing w:line="322" w:lineRule="exact"/>
        <w:ind w:right="23" w:firstLine="709"/>
        <w:rPr>
          <w:rStyle w:val="FontStyle12"/>
        </w:rPr>
      </w:pPr>
      <w:r>
        <w:rPr>
          <w:rStyle w:val="FontStyle12"/>
        </w:rPr>
        <w:t xml:space="preserve">Помимо «профильных» форм отчетности международная статистика банковского сектора составляется в рамках разработки стандартных презентаций платежного баланса, международной инвестиционной позиции и внешнего долга. В частности, представлены следующие сведения по </w:t>
      </w:r>
      <w:r w:rsidR="00E22E94">
        <w:rPr>
          <w:rStyle w:val="FontStyle12"/>
        </w:rPr>
        <w:t xml:space="preserve">внешним операциям </w:t>
      </w:r>
      <w:r>
        <w:rPr>
          <w:rStyle w:val="FontStyle12"/>
        </w:rPr>
        <w:t>банк</w:t>
      </w:r>
      <w:r w:rsidR="00E22E94">
        <w:rPr>
          <w:rStyle w:val="FontStyle12"/>
        </w:rPr>
        <w:t>ов</w:t>
      </w:r>
      <w:r>
        <w:rPr>
          <w:rStyle w:val="FontStyle12"/>
        </w:rPr>
        <w:t>:</w:t>
      </w:r>
    </w:p>
    <w:p w:rsidR="00FB4D8F" w:rsidRDefault="005234D9" w:rsidP="00F05AAB">
      <w:pPr>
        <w:pStyle w:val="Style3"/>
        <w:widowControl/>
        <w:tabs>
          <w:tab w:val="left" w:pos="1075"/>
        </w:tabs>
        <w:spacing w:line="322" w:lineRule="exact"/>
        <w:ind w:right="23" w:firstLine="709"/>
        <w:rPr>
          <w:rStyle w:val="FontStyle12"/>
        </w:rPr>
      </w:pPr>
      <w:r>
        <w:rPr>
          <w:rStyle w:val="FontStyle12"/>
        </w:rPr>
        <w:t xml:space="preserve">-  </w:t>
      </w:r>
      <w:r w:rsidR="002E08F9">
        <w:rPr>
          <w:rStyle w:val="FontStyle12"/>
        </w:rPr>
        <w:t>Внешний долг</w:t>
      </w:r>
      <w:r w:rsidR="00E22E94">
        <w:rPr>
          <w:rStyle w:val="FontStyle12"/>
        </w:rPr>
        <w:t xml:space="preserve"> банков </w:t>
      </w:r>
      <w:r w:rsidR="002E08F9">
        <w:rPr>
          <w:rStyle w:val="FontStyle12"/>
        </w:rPr>
        <w:t>(в разрезе валют и сроков)</w:t>
      </w:r>
      <w:r w:rsidR="00E22E94">
        <w:rPr>
          <w:rStyle w:val="FontStyle12"/>
        </w:rPr>
        <w:t>.</w:t>
      </w:r>
    </w:p>
    <w:p w:rsidR="002E08F9" w:rsidRDefault="002E08F9" w:rsidP="00F05AAB">
      <w:pPr>
        <w:pStyle w:val="Style3"/>
        <w:widowControl/>
        <w:tabs>
          <w:tab w:val="left" w:pos="1075"/>
        </w:tabs>
        <w:spacing w:line="322" w:lineRule="exact"/>
        <w:ind w:right="23" w:firstLine="709"/>
        <w:rPr>
          <w:rStyle w:val="FontStyle12"/>
        </w:rPr>
      </w:pPr>
      <w:r>
        <w:rPr>
          <w:rStyle w:val="FontStyle12"/>
        </w:rPr>
        <w:t>- Чистая позиция по внешнему долгу (соотношение долговых требований и обязательств сектора)</w:t>
      </w:r>
      <w:r w:rsidR="00E22E94">
        <w:rPr>
          <w:rStyle w:val="FontStyle12"/>
        </w:rPr>
        <w:t>.</w:t>
      </w:r>
    </w:p>
    <w:p w:rsidR="002E08F9" w:rsidRDefault="002E08F9" w:rsidP="00F05AAB">
      <w:pPr>
        <w:pStyle w:val="Style3"/>
        <w:widowControl/>
        <w:tabs>
          <w:tab w:val="left" w:pos="1075"/>
        </w:tabs>
        <w:spacing w:line="322" w:lineRule="exact"/>
        <w:ind w:right="23" w:firstLine="709"/>
        <w:rPr>
          <w:rStyle w:val="FontStyle12"/>
        </w:rPr>
      </w:pPr>
      <w:r>
        <w:rPr>
          <w:rStyle w:val="FontStyle12"/>
        </w:rPr>
        <w:t xml:space="preserve"> - Объем выпусков еврооблигаций от имени банков</w:t>
      </w:r>
      <w:r w:rsidR="00E22E94">
        <w:rPr>
          <w:rStyle w:val="FontStyle12"/>
        </w:rPr>
        <w:t>.</w:t>
      </w:r>
    </w:p>
    <w:p w:rsidR="00B44054" w:rsidRDefault="00B44054" w:rsidP="002E08F9">
      <w:pPr>
        <w:pStyle w:val="Style3"/>
        <w:widowControl/>
        <w:tabs>
          <w:tab w:val="left" w:pos="0"/>
        </w:tabs>
        <w:spacing w:line="322" w:lineRule="exact"/>
        <w:ind w:right="23"/>
        <w:rPr>
          <w:rStyle w:val="FontStyle12"/>
        </w:rPr>
      </w:pPr>
    </w:p>
    <w:p w:rsidR="002E08F9" w:rsidRPr="00EE12F4" w:rsidRDefault="002E08F9" w:rsidP="00E22E94">
      <w:pPr>
        <w:pStyle w:val="Style3"/>
        <w:widowControl/>
        <w:numPr>
          <w:ilvl w:val="0"/>
          <w:numId w:val="19"/>
        </w:numPr>
        <w:tabs>
          <w:tab w:val="left" w:pos="0"/>
        </w:tabs>
        <w:spacing w:line="322" w:lineRule="exact"/>
        <w:ind w:right="23"/>
        <w:rPr>
          <w:rStyle w:val="FontStyle12"/>
          <w:b/>
        </w:rPr>
      </w:pPr>
      <w:r w:rsidRPr="00EE12F4">
        <w:rPr>
          <w:rStyle w:val="FontStyle12"/>
          <w:b/>
        </w:rPr>
        <w:t xml:space="preserve">Аналитические возможности международной </w:t>
      </w:r>
      <w:r w:rsidR="00E22E94" w:rsidRPr="00EE12F4">
        <w:rPr>
          <w:rStyle w:val="FontStyle12"/>
          <w:b/>
        </w:rPr>
        <w:t>банковско</w:t>
      </w:r>
      <w:r w:rsidR="00E22E94">
        <w:rPr>
          <w:rStyle w:val="FontStyle12"/>
          <w:b/>
        </w:rPr>
        <w:t>й</w:t>
      </w:r>
      <w:r w:rsidR="00E22E94" w:rsidRPr="00EE12F4">
        <w:rPr>
          <w:rStyle w:val="FontStyle12"/>
          <w:b/>
        </w:rPr>
        <w:t xml:space="preserve"> </w:t>
      </w:r>
      <w:r w:rsidRPr="00EE12F4">
        <w:rPr>
          <w:rStyle w:val="FontStyle12"/>
          <w:b/>
        </w:rPr>
        <w:t>статистики</w:t>
      </w:r>
    </w:p>
    <w:p w:rsidR="002E08F9" w:rsidRDefault="002E08F9" w:rsidP="002E08F9">
      <w:pPr>
        <w:pStyle w:val="Style3"/>
        <w:widowControl/>
        <w:tabs>
          <w:tab w:val="left" w:pos="0"/>
        </w:tabs>
        <w:spacing w:line="322" w:lineRule="exact"/>
        <w:ind w:right="23"/>
        <w:rPr>
          <w:rStyle w:val="FontStyle12"/>
        </w:rPr>
      </w:pPr>
    </w:p>
    <w:p w:rsidR="002E08F9" w:rsidRDefault="002E08F9" w:rsidP="002E08F9">
      <w:pPr>
        <w:pStyle w:val="Style3"/>
        <w:widowControl/>
        <w:tabs>
          <w:tab w:val="left" w:pos="0"/>
        </w:tabs>
        <w:spacing w:line="322" w:lineRule="exact"/>
        <w:ind w:right="23"/>
        <w:rPr>
          <w:rStyle w:val="FontStyle12"/>
        </w:rPr>
      </w:pPr>
      <w:r>
        <w:rPr>
          <w:rStyle w:val="FontStyle12"/>
        </w:rPr>
        <w:t>Международная статистика банковского сектора дает полный срез информации о месте банковского сектора в чистом кредитовании остального мира российской экономикой.</w:t>
      </w:r>
    </w:p>
    <w:p w:rsidR="00E22E94" w:rsidRDefault="00E22E94" w:rsidP="002E08F9">
      <w:pPr>
        <w:pStyle w:val="Style3"/>
        <w:widowControl/>
        <w:tabs>
          <w:tab w:val="left" w:pos="0"/>
        </w:tabs>
        <w:spacing w:line="322" w:lineRule="exact"/>
        <w:ind w:right="23"/>
        <w:rPr>
          <w:rStyle w:val="FontStyle12"/>
        </w:rPr>
      </w:pPr>
      <w:r>
        <w:rPr>
          <w:rStyle w:val="FontStyle12"/>
        </w:rPr>
        <w:t>Б</w:t>
      </w:r>
      <w:r w:rsidR="002E08F9">
        <w:rPr>
          <w:rStyle w:val="FontStyle12"/>
        </w:rPr>
        <w:t xml:space="preserve">анковский сектор Российской Федерации, </w:t>
      </w:r>
      <w:r>
        <w:rPr>
          <w:rStyle w:val="FontStyle12"/>
        </w:rPr>
        <w:t xml:space="preserve">как и на </w:t>
      </w:r>
      <w:r w:rsidR="002E08F9">
        <w:rPr>
          <w:rStyle w:val="FontStyle12"/>
        </w:rPr>
        <w:t>других формирующихся рынк</w:t>
      </w:r>
      <w:r>
        <w:rPr>
          <w:rStyle w:val="FontStyle12"/>
        </w:rPr>
        <w:t>ах</w:t>
      </w:r>
      <w:r w:rsidR="002E08F9">
        <w:rPr>
          <w:rStyle w:val="FontStyle12"/>
        </w:rPr>
        <w:t xml:space="preserve">, в </w:t>
      </w:r>
      <w:r>
        <w:rPr>
          <w:rStyle w:val="FontStyle12"/>
        </w:rPr>
        <w:t>чистом кредитовании остального мира банки уступают центральному банку</w:t>
      </w:r>
      <w:r w:rsidR="002E08F9">
        <w:rPr>
          <w:rStyle w:val="FontStyle12"/>
        </w:rPr>
        <w:t xml:space="preserve">. </w:t>
      </w:r>
      <w:r>
        <w:rPr>
          <w:rStyle w:val="FontStyle12"/>
        </w:rPr>
        <w:t>Размер чистого кредитования остального мира банками составляет около 70 млрд долларов США, или около 20% совокупной чистой МИП.</w:t>
      </w:r>
    </w:p>
    <w:p w:rsidR="00EE12F4" w:rsidRDefault="00EE12F4" w:rsidP="002E08F9">
      <w:pPr>
        <w:pStyle w:val="Style3"/>
        <w:widowControl/>
        <w:tabs>
          <w:tab w:val="left" w:pos="0"/>
        </w:tabs>
        <w:spacing w:line="322" w:lineRule="exact"/>
        <w:ind w:right="23"/>
        <w:rPr>
          <w:rStyle w:val="FontStyle12"/>
        </w:rPr>
      </w:pPr>
      <w:r>
        <w:rPr>
          <w:rStyle w:val="FontStyle12"/>
        </w:rPr>
        <w:t xml:space="preserve">В секторальной структуре экспорта капитала банки, наряду с центральным банком, устойчиво выступают нетто-кредиторами остального мира, тогда как корпоративный сектор – нетто-заемщиком. </w:t>
      </w:r>
    </w:p>
    <w:p w:rsidR="005768FB" w:rsidRDefault="005768FB" w:rsidP="002E08F9">
      <w:pPr>
        <w:pStyle w:val="Style3"/>
        <w:widowControl/>
        <w:tabs>
          <w:tab w:val="left" w:pos="0"/>
        </w:tabs>
        <w:spacing w:line="322" w:lineRule="exact"/>
        <w:ind w:right="23"/>
        <w:rPr>
          <w:rStyle w:val="FontStyle12"/>
        </w:rPr>
      </w:pPr>
      <w:r>
        <w:rPr>
          <w:rStyle w:val="FontStyle12"/>
        </w:rPr>
        <w:t>Динамика внешних обязательств банковского сектора была нестабильной: периоды экспансии на рынок внешних заимствований сменялись глубокими спадами и оттоком внешней ресурсной базы. В настоящее время банки переживают длительный период оттока ресурсов нерезидентов, объем внешних заимствований банков упал до уровня 2005 года.</w:t>
      </w:r>
    </w:p>
    <w:p w:rsidR="005768FB" w:rsidRDefault="005768FB" w:rsidP="002E08F9">
      <w:pPr>
        <w:pStyle w:val="Style3"/>
        <w:widowControl/>
        <w:tabs>
          <w:tab w:val="left" w:pos="0"/>
        </w:tabs>
        <w:spacing w:line="322" w:lineRule="exact"/>
        <w:ind w:right="23"/>
        <w:rPr>
          <w:rStyle w:val="FontStyle12"/>
        </w:rPr>
      </w:pPr>
      <w:r>
        <w:rPr>
          <w:rStyle w:val="FontStyle12"/>
        </w:rPr>
        <w:t xml:space="preserve">Внешние требования и обязательства банков сбалансированы по валютам и срокам, большая часть операций представлена долларами США. </w:t>
      </w:r>
    </w:p>
    <w:p w:rsidR="005768FB" w:rsidRDefault="005768FB" w:rsidP="002E08F9">
      <w:pPr>
        <w:pStyle w:val="Style3"/>
        <w:widowControl/>
        <w:tabs>
          <w:tab w:val="left" w:pos="0"/>
        </w:tabs>
        <w:spacing w:line="322" w:lineRule="exact"/>
        <w:ind w:right="23"/>
        <w:rPr>
          <w:rStyle w:val="FontStyle12"/>
        </w:rPr>
      </w:pPr>
      <w:r>
        <w:rPr>
          <w:rStyle w:val="FontStyle12"/>
        </w:rPr>
        <w:t>В географической структуре операций банков доминируют страны – основные торговые партнёры, финансовые центры, а также – оффшорные юрисдикции.</w:t>
      </w:r>
    </w:p>
    <w:p w:rsidR="005768FB" w:rsidRDefault="005768FB" w:rsidP="002E08F9">
      <w:pPr>
        <w:pStyle w:val="Style3"/>
        <w:widowControl/>
        <w:tabs>
          <w:tab w:val="left" w:pos="0"/>
        </w:tabs>
        <w:spacing w:line="322" w:lineRule="exact"/>
        <w:ind w:right="23"/>
        <w:rPr>
          <w:rStyle w:val="FontStyle12"/>
        </w:rPr>
      </w:pPr>
    </w:p>
    <w:p w:rsidR="005768FB" w:rsidRPr="00F05AAB" w:rsidRDefault="005768FB" w:rsidP="002E08F9">
      <w:pPr>
        <w:pStyle w:val="Style3"/>
        <w:widowControl/>
        <w:tabs>
          <w:tab w:val="left" w:pos="0"/>
        </w:tabs>
        <w:spacing w:line="322" w:lineRule="exact"/>
        <w:ind w:right="23"/>
        <w:rPr>
          <w:rStyle w:val="FontStyle12"/>
          <w:b/>
        </w:rPr>
      </w:pPr>
      <w:r w:rsidRPr="00F05AAB">
        <w:rPr>
          <w:rStyle w:val="FontStyle12"/>
          <w:b/>
        </w:rPr>
        <w:t>Выводы</w:t>
      </w:r>
      <w:r w:rsidR="00F05AAB">
        <w:rPr>
          <w:rStyle w:val="FontStyle12"/>
          <w:b/>
        </w:rPr>
        <w:t>:</w:t>
      </w:r>
    </w:p>
    <w:p w:rsidR="005768FB" w:rsidRDefault="005768FB" w:rsidP="002E08F9">
      <w:pPr>
        <w:pStyle w:val="Style3"/>
        <w:widowControl/>
        <w:tabs>
          <w:tab w:val="left" w:pos="0"/>
        </w:tabs>
        <w:spacing w:line="322" w:lineRule="exact"/>
        <w:ind w:right="23"/>
        <w:rPr>
          <w:rStyle w:val="FontStyle12"/>
        </w:rPr>
      </w:pPr>
    </w:p>
    <w:p w:rsidR="005768FB" w:rsidRDefault="005768FB" w:rsidP="005768FB">
      <w:pPr>
        <w:pStyle w:val="Style3"/>
        <w:widowControl/>
        <w:numPr>
          <w:ilvl w:val="0"/>
          <w:numId w:val="18"/>
        </w:numPr>
        <w:tabs>
          <w:tab w:val="left" w:pos="0"/>
        </w:tabs>
        <w:spacing w:line="322" w:lineRule="exact"/>
        <w:ind w:right="23"/>
        <w:rPr>
          <w:rStyle w:val="FontStyle12"/>
        </w:rPr>
      </w:pPr>
      <w:r>
        <w:rPr>
          <w:rStyle w:val="FontStyle12"/>
        </w:rPr>
        <w:t xml:space="preserve">Организация международной </w:t>
      </w:r>
      <w:r w:rsidR="00F05AAB">
        <w:rPr>
          <w:rStyle w:val="FontStyle12"/>
        </w:rPr>
        <w:t xml:space="preserve">банковской </w:t>
      </w:r>
      <w:r>
        <w:rPr>
          <w:rStyle w:val="FontStyle12"/>
        </w:rPr>
        <w:t>статистики в Российской Федерации отражает международные методологические подходы и лучшую мировую практику. Деятельность по развитию международной статистики в РФ отмечена БМР</w:t>
      </w:r>
    </w:p>
    <w:p w:rsidR="00F05AAB" w:rsidRDefault="005768FB" w:rsidP="005768FB">
      <w:pPr>
        <w:pStyle w:val="Style3"/>
        <w:widowControl/>
        <w:numPr>
          <w:ilvl w:val="0"/>
          <w:numId w:val="18"/>
        </w:numPr>
        <w:tabs>
          <w:tab w:val="left" w:pos="0"/>
        </w:tabs>
        <w:spacing w:line="322" w:lineRule="exact"/>
        <w:ind w:right="23"/>
        <w:rPr>
          <w:rStyle w:val="FontStyle12"/>
        </w:rPr>
      </w:pPr>
      <w:r>
        <w:rPr>
          <w:rStyle w:val="FontStyle12"/>
        </w:rPr>
        <w:t>Для сбора международной банковской статистики выбраны адекватные приемы и методы статистики, позволяющие максимально охватить сведения об международных операциях.</w:t>
      </w:r>
    </w:p>
    <w:p w:rsidR="00EE12F4" w:rsidRPr="00B44054" w:rsidRDefault="00F05AAB" w:rsidP="00F05AAB">
      <w:pPr>
        <w:pStyle w:val="Style3"/>
        <w:widowControl/>
        <w:numPr>
          <w:ilvl w:val="0"/>
          <w:numId w:val="18"/>
        </w:numPr>
        <w:tabs>
          <w:tab w:val="left" w:pos="0"/>
        </w:tabs>
        <w:spacing w:line="322" w:lineRule="exact"/>
        <w:ind w:right="23"/>
        <w:rPr>
          <w:rStyle w:val="FontStyle12"/>
        </w:rPr>
      </w:pPr>
      <w:r>
        <w:rPr>
          <w:rStyle w:val="FontStyle12"/>
        </w:rPr>
        <w:t>Международной банковской статистики представляет мощный инструмент анализа как в интересах проведения государственной экономической политики, так и в интересах обеспечения финансовой стабильности.</w:t>
      </w:r>
    </w:p>
    <w:sectPr w:rsidR="00EE12F4" w:rsidRPr="00B44054" w:rsidSect="00E76AB3">
      <w:headerReference w:type="default" r:id="rId9"/>
      <w:headerReference w:type="first" r:id="rId10"/>
      <w:type w:val="continuous"/>
      <w:pgSz w:w="11905" w:h="16837"/>
      <w:pgMar w:top="755" w:right="1128" w:bottom="1135" w:left="112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1A" w:rsidRDefault="00882F1A">
      <w:r>
        <w:separator/>
      </w:r>
    </w:p>
  </w:endnote>
  <w:endnote w:type="continuationSeparator" w:id="0">
    <w:p w:rsidR="00882F1A" w:rsidRDefault="0088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1A" w:rsidRDefault="00882F1A">
      <w:r>
        <w:separator/>
      </w:r>
    </w:p>
  </w:footnote>
  <w:footnote w:type="continuationSeparator" w:id="0">
    <w:p w:rsidR="00882F1A" w:rsidRDefault="0088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976023"/>
      <w:docPartObj>
        <w:docPartGallery w:val="Page Numbers (Top of Page)"/>
        <w:docPartUnique/>
      </w:docPartObj>
    </w:sdtPr>
    <w:sdtEndPr/>
    <w:sdtContent>
      <w:p w:rsidR="00E76AB3" w:rsidRDefault="00E76A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248">
          <w:rPr>
            <w:noProof/>
          </w:rPr>
          <w:t>3</w:t>
        </w:r>
        <w:r>
          <w:fldChar w:fldCharType="end"/>
        </w:r>
      </w:p>
    </w:sdtContent>
  </w:sdt>
  <w:p w:rsidR="00E76AB3" w:rsidRDefault="00E76A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B3" w:rsidRDefault="00E76AB3">
    <w:pPr>
      <w:pStyle w:val="a4"/>
      <w:jc w:val="center"/>
    </w:pPr>
  </w:p>
  <w:p w:rsidR="00E76AB3" w:rsidRDefault="00E76A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202C4C"/>
    <w:lvl w:ilvl="0">
      <w:numFmt w:val="bullet"/>
      <w:lvlText w:val="*"/>
      <w:lvlJc w:val="left"/>
    </w:lvl>
  </w:abstractNum>
  <w:abstractNum w:abstractNumId="1">
    <w:nsid w:val="1B205E73"/>
    <w:multiLevelType w:val="singleLevel"/>
    <w:tmpl w:val="357648C0"/>
    <w:lvl w:ilvl="0">
      <w:start w:val="6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286A12CA"/>
    <w:multiLevelType w:val="singleLevel"/>
    <w:tmpl w:val="F858F0A6"/>
    <w:lvl w:ilvl="0">
      <w:start w:val="7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2B7142E5"/>
    <w:multiLevelType w:val="singleLevel"/>
    <w:tmpl w:val="08B421F0"/>
    <w:lvl w:ilvl="0">
      <w:start w:val="4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31BA6676"/>
    <w:multiLevelType w:val="hybridMultilevel"/>
    <w:tmpl w:val="FDC62174"/>
    <w:lvl w:ilvl="0" w:tplc="CFE2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8D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EA7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8E5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2F7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4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E82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A8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0A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9B713F"/>
    <w:multiLevelType w:val="hybridMultilevel"/>
    <w:tmpl w:val="DFB82A50"/>
    <w:lvl w:ilvl="0" w:tplc="C0E6EB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50A4441"/>
    <w:multiLevelType w:val="multilevel"/>
    <w:tmpl w:val="42CAA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AB66CD3"/>
    <w:multiLevelType w:val="hybridMultilevel"/>
    <w:tmpl w:val="3C9C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1E12"/>
    <w:multiLevelType w:val="hybridMultilevel"/>
    <w:tmpl w:val="8086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D0565"/>
    <w:multiLevelType w:val="multilevel"/>
    <w:tmpl w:val="589A79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914869"/>
    <w:multiLevelType w:val="hybridMultilevel"/>
    <w:tmpl w:val="AB1A8CD4"/>
    <w:lvl w:ilvl="0" w:tplc="384C4B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D1E4A"/>
    <w:multiLevelType w:val="hybridMultilevel"/>
    <w:tmpl w:val="0E88BDE4"/>
    <w:lvl w:ilvl="0" w:tplc="7230F4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5D69"/>
    <w:multiLevelType w:val="hybridMultilevel"/>
    <w:tmpl w:val="52AAC954"/>
    <w:lvl w:ilvl="0" w:tplc="114CDF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CB35B4A"/>
    <w:multiLevelType w:val="singleLevel"/>
    <w:tmpl w:val="90406BB2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7C1450D3"/>
    <w:multiLevelType w:val="singleLevel"/>
    <w:tmpl w:val="DBF85E68"/>
    <w:lvl w:ilvl="0">
      <w:start w:val="3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8"/>
        <w:numFmt w:val="decimal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9"/>
        <w:numFmt w:val="decimal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  <w:num w:numId="15">
    <w:abstractNumId w:val="10"/>
  </w:num>
  <w:num w:numId="16">
    <w:abstractNumId w:val="4"/>
  </w:num>
  <w:num w:numId="17">
    <w:abstractNumId w:val="7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C4"/>
    <w:rsid w:val="00003076"/>
    <w:rsid w:val="00034DE3"/>
    <w:rsid w:val="00150517"/>
    <w:rsid w:val="001971D2"/>
    <w:rsid w:val="001C5DCE"/>
    <w:rsid w:val="002A33FF"/>
    <w:rsid w:val="002E08F9"/>
    <w:rsid w:val="002E2276"/>
    <w:rsid w:val="002F763D"/>
    <w:rsid w:val="00303E3F"/>
    <w:rsid w:val="003330C9"/>
    <w:rsid w:val="003D238D"/>
    <w:rsid w:val="003D6E48"/>
    <w:rsid w:val="00481248"/>
    <w:rsid w:val="004904D6"/>
    <w:rsid w:val="005234D9"/>
    <w:rsid w:val="0057236C"/>
    <w:rsid w:val="005768FB"/>
    <w:rsid w:val="00677407"/>
    <w:rsid w:val="007C5967"/>
    <w:rsid w:val="007D06CB"/>
    <w:rsid w:val="00842AC4"/>
    <w:rsid w:val="00882F1A"/>
    <w:rsid w:val="00924F00"/>
    <w:rsid w:val="00994171"/>
    <w:rsid w:val="00AE54E4"/>
    <w:rsid w:val="00B44054"/>
    <w:rsid w:val="00B70DF2"/>
    <w:rsid w:val="00D64EFE"/>
    <w:rsid w:val="00E13217"/>
    <w:rsid w:val="00E22E94"/>
    <w:rsid w:val="00E331BD"/>
    <w:rsid w:val="00E3346D"/>
    <w:rsid w:val="00E76AB3"/>
    <w:rsid w:val="00E921A6"/>
    <w:rsid w:val="00EE12F4"/>
    <w:rsid w:val="00EF0ABF"/>
    <w:rsid w:val="00F05AAB"/>
    <w:rsid w:val="00F221CB"/>
    <w:rsid w:val="00FB4D8F"/>
    <w:rsid w:val="00FC662A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54E4"/>
    <w:pPr>
      <w:keepNext/>
      <w:widowControl/>
      <w:autoSpaceDE/>
      <w:autoSpaceDN/>
      <w:adjustRightInd/>
      <w:ind w:firstLine="709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238D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3D238D"/>
  </w:style>
  <w:style w:type="paragraph" w:customStyle="1" w:styleId="Style3">
    <w:name w:val="Style3"/>
    <w:basedOn w:val="a"/>
    <w:uiPriority w:val="99"/>
    <w:rsid w:val="003D238D"/>
    <w:pPr>
      <w:spacing w:line="323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sid w:val="003D23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D238D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3D238D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AE54E4"/>
    <w:rPr>
      <w:rFonts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AE54E4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AE54E4"/>
    <w:rPr>
      <w:rFonts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AE54E4"/>
    <w:pPr>
      <w:widowControl/>
      <w:autoSpaceDE/>
      <w:autoSpaceDN/>
      <w:adjustRightInd/>
      <w:spacing w:before="100" w:beforeAutospacing="1" w:after="100" w:afterAutospacing="1"/>
      <w:ind w:firstLine="180"/>
      <w:jc w:val="both"/>
    </w:pPr>
    <w:rPr>
      <w:rFonts w:eastAsia="Times New Roman"/>
      <w:color w:val="001F4B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A33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3F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33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3FF"/>
    <w:rPr>
      <w:rFonts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921A6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76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54E4"/>
    <w:pPr>
      <w:keepNext/>
      <w:widowControl/>
      <w:autoSpaceDE/>
      <w:autoSpaceDN/>
      <w:adjustRightInd/>
      <w:ind w:firstLine="709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238D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3D238D"/>
  </w:style>
  <w:style w:type="paragraph" w:customStyle="1" w:styleId="Style3">
    <w:name w:val="Style3"/>
    <w:basedOn w:val="a"/>
    <w:uiPriority w:val="99"/>
    <w:rsid w:val="003D238D"/>
    <w:pPr>
      <w:spacing w:line="323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sid w:val="003D23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D238D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3D238D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AE54E4"/>
    <w:rPr>
      <w:rFonts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AE54E4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AE54E4"/>
    <w:rPr>
      <w:rFonts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AE54E4"/>
    <w:pPr>
      <w:widowControl/>
      <w:autoSpaceDE/>
      <w:autoSpaceDN/>
      <w:adjustRightInd/>
      <w:spacing w:before="100" w:beforeAutospacing="1" w:after="100" w:afterAutospacing="1"/>
      <w:ind w:firstLine="180"/>
      <w:jc w:val="both"/>
    </w:pPr>
    <w:rPr>
      <w:rFonts w:eastAsia="Times New Roman"/>
      <w:color w:val="001F4B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A33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3F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33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3FF"/>
    <w:rPr>
      <w:rFonts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921A6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76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88CD-7011-4785-B9AE-7110E251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Емельянова Ольга Юрьевна</cp:lastModifiedBy>
  <cp:revision>4</cp:revision>
  <cp:lastPrinted>2019-04-10T10:13:00Z</cp:lastPrinted>
  <dcterms:created xsi:type="dcterms:W3CDTF">2019-04-10T10:11:00Z</dcterms:created>
  <dcterms:modified xsi:type="dcterms:W3CDTF">2019-04-10T10:18:00Z</dcterms:modified>
</cp:coreProperties>
</file>