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A5" w:rsidRPr="009E7453" w:rsidRDefault="00615777" w:rsidP="009E7453">
      <w:pPr>
        <w:jc w:val="both"/>
        <w:rPr>
          <w:szCs w:val="28"/>
        </w:rPr>
      </w:pPr>
      <w:r w:rsidRPr="009E7453">
        <w:rPr>
          <w:b/>
          <w:bCs/>
          <w:szCs w:val="28"/>
        </w:rPr>
        <w:t>Кузнецов</w:t>
      </w:r>
      <w:r w:rsidR="009540A5" w:rsidRPr="009E7453">
        <w:rPr>
          <w:b/>
          <w:bCs/>
          <w:szCs w:val="28"/>
        </w:rPr>
        <w:t xml:space="preserve"> </w:t>
      </w:r>
      <w:r w:rsidRPr="009E7453">
        <w:rPr>
          <w:b/>
          <w:bCs/>
          <w:szCs w:val="28"/>
        </w:rPr>
        <w:t>Василий</w:t>
      </w:r>
      <w:r w:rsidR="009540A5" w:rsidRPr="009E7453">
        <w:rPr>
          <w:b/>
          <w:bCs/>
          <w:szCs w:val="28"/>
        </w:rPr>
        <w:t xml:space="preserve"> </w:t>
      </w:r>
      <w:r w:rsidRPr="009E7453">
        <w:rPr>
          <w:b/>
          <w:bCs/>
          <w:szCs w:val="28"/>
        </w:rPr>
        <w:t>Иванович</w:t>
      </w:r>
      <w:r w:rsidR="009540A5" w:rsidRPr="009E7453">
        <w:rPr>
          <w:szCs w:val="28"/>
        </w:rPr>
        <w:t xml:space="preserve"> - заместитель начальника Управления </w:t>
      </w:r>
      <w:r w:rsidRPr="009E7453">
        <w:rPr>
          <w:szCs w:val="28"/>
        </w:rPr>
        <w:t>национальных счетов Федеральной службы государственной статистики</w:t>
      </w:r>
      <w:r w:rsidR="009540A5" w:rsidRPr="009E7453">
        <w:rPr>
          <w:szCs w:val="28"/>
        </w:rPr>
        <w:t>, к.э.н.</w:t>
      </w:r>
    </w:p>
    <w:p w:rsidR="009540A5" w:rsidRPr="004303FE" w:rsidRDefault="009540A5" w:rsidP="009E7453">
      <w:pPr>
        <w:jc w:val="both"/>
        <w:rPr>
          <w:sz w:val="26"/>
          <w:szCs w:val="26"/>
        </w:rPr>
      </w:pPr>
    </w:p>
    <w:p w:rsidR="0077681F" w:rsidRDefault="0077681F" w:rsidP="009E7453">
      <w:pPr>
        <w:jc w:val="center"/>
        <w:rPr>
          <w:b/>
          <w:bCs/>
          <w:sz w:val="26"/>
          <w:szCs w:val="26"/>
        </w:rPr>
      </w:pPr>
    </w:p>
    <w:p w:rsidR="009540A5" w:rsidRPr="00FA1D61" w:rsidRDefault="009540A5" w:rsidP="009E7453">
      <w:pPr>
        <w:jc w:val="center"/>
        <w:rPr>
          <w:b/>
          <w:bCs/>
          <w:szCs w:val="28"/>
          <w:u w:val="single"/>
        </w:rPr>
      </w:pPr>
      <w:r w:rsidRPr="00FA1D61">
        <w:rPr>
          <w:b/>
          <w:bCs/>
          <w:szCs w:val="28"/>
          <w:u w:val="single"/>
        </w:rPr>
        <w:t>Тезисы</w:t>
      </w:r>
    </w:p>
    <w:p w:rsidR="009540A5" w:rsidRPr="00FA1D61" w:rsidRDefault="009540A5" w:rsidP="009E7453">
      <w:pPr>
        <w:jc w:val="center"/>
        <w:rPr>
          <w:b/>
          <w:bCs/>
          <w:szCs w:val="28"/>
        </w:rPr>
      </w:pPr>
      <w:r w:rsidRPr="00FA1D61">
        <w:rPr>
          <w:b/>
          <w:bCs/>
          <w:szCs w:val="28"/>
        </w:rPr>
        <w:t>доклада на заседа</w:t>
      </w:r>
      <w:r w:rsidR="00615777" w:rsidRPr="00FA1D61">
        <w:rPr>
          <w:b/>
          <w:bCs/>
          <w:szCs w:val="28"/>
        </w:rPr>
        <w:t>нии секции статистики ЦДУ РАН 18</w:t>
      </w:r>
      <w:r w:rsidRPr="00FA1D61">
        <w:rPr>
          <w:b/>
          <w:bCs/>
          <w:szCs w:val="28"/>
        </w:rPr>
        <w:t>.0</w:t>
      </w:r>
      <w:r w:rsidR="006E7C50">
        <w:rPr>
          <w:b/>
          <w:bCs/>
          <w:szCs w:val="28"/>
        </w:rPr>
        <w:t>5</w:t>
      </w:r>
      <w:r w:rsidRPr="00FA1D61">
        <w:rPr>
          <w:b/>
          <w:bCs/>
          <w:szCs w:val="28"/>
        </w:rPr>
        <w:t>.201</w:t>
      </w:r>
      <w:r w:rsidR="006E7C50">
        <w:rPr>
          <w:b/>
          <w:bCs/>
          <w:szCs w:val="28"/>
        </w:rPr>
        <w:t>7</w:t>
      </w:r>
    </w:p>
    <w:p w:rsidR="009540A5" w:rsidRPr="00FA1D61" w:rsidRDefault="009540A5" w:rsidP="009E7453">
      <w:pPr>
        <w:jc w:val="center"/>
        <w:rPr>
          <w:b/>
          <w:bCs/>
          <w:szCs w:val="28"/>
        </w:rPr>
      </w:pPr>
      <w:r w:rsidRPr="00FA1D61">
        <w:rPr>
          <w:b/>
          <w:bCs/>
          <w:szCs w:val="28"/>
        </w:rPr>
        <w:t xml:space="preserve">по теме: </w:t>
      </w:r>
      <w:r w:rsidR="006B3C94" w:rsidRPr="00FA1D61">
        <w:rPr>
          <w:b/>
          <w:bCs/>
          <w:szCs w:val="28"/>
        </w:rPr>
        <w:t>«</w:t>
      </w:r>
      <w:r w:rsidR="006E7C50">
        <w:rPr>
          <w:b/>
          <w:bCs/>
          <w:szCs w:val="28"/>
        </w:rPr>
        <w:t>Переход на годовые сопоставления ВВП в Российской Федерации</w:t>
      </w:r>
      <w:r w:rsidR="006B3C94" w:rsidRPr="00FA1D61">
        <w:rPr>
          <w:b/>
          <w:bCs/>
          <w:szCs w:val="28"/>
        </w:rPr>
        <w:t>»</w:t>
      </w:r>
    </w:p>
    <w:p w:rsidR="004311F5" w:rsidRDefault="004311F5" w:rsidP="009E7453"/>
    <w:p w:rsidR="00414195" w:rsidRDefault="00414195" w:rsidP="009E7453"/>
    <w:p w:rsidR="00D61194" w:rsidRPr="0071185D" w:rsidRDefault="00C86F73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 xml:space="preserve">Современные международные сопоставления разработаны в конце 60-х годов, чтобы заполнить пробел в мировой статистической системе. Предыдущие этапы Программы международных сопоставлений ООН (ПМС) проводились за базисные 1970, 1973, 1975, 1980, 1985, 1993 гг. С 1980 г. международные сопоставления проводятся по региональному принципу 1 раз в 3- 5 лет. </w:t>
      </w:r>
    </w:p>
    <w:p w:rsidR="00D61194" w:rsidRPr="006F7466" w:rsidRDefault="00D61194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Сопоставления стран СНГ осуществлялись за 1996, 2000, 2004, 2005, 2008, 2011, 2014 гг., в которых приним</w:t>
      </w:r>
      <w:r w:rsidR="006F7466">
        <w:rPr>
          <w:szCs w:val="28"/>
        </w:rPr>
        <w:t>ало участие разное число стран.</w:t>
      </w:r>
    </w:p>
    <w:p w:rsidR="00E97481" w:rsidRPr="0071185D" w:rsidRDefault="00C86F73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 xml:space="preserve">Европейская программа сопоставлений </w:t>
      </w:r>
      <w:r w:rsidR="00D61194" w:rsidRPr="0071185D">
        <w:rPr>
          <w:szCs w:val="28"/>
        </w:rPr>
        <w:t xml:space="preserve">(ЕПС) </w:t>
      </w:r>
      <w:r w:rsidRPr="0071185D">
        <w:rPr>
          <w:szCs w:val="28"/>
        </w:rPr>
        <w:t xml:space="preserve">осуществлялась за 1980, 1985, 1993, 1996 и 1999 гг. </w:t>
      </w:r>
      <w:r w:rsidR="00D61194" w:rsidRPr="0071185D">
        <w:rPr>
          <w:szCs w:val="28"/>
        </w:rPr>
        <w:t xml:space="preserve">Расширение Европейского союза привело к тому, что ЕПС прекратило свое существование, и взамен осуществляется программа международных сопоставлений ВВП ОЭСР-Евростата. </w:t>
      </w:r>
      <w:r w:rsidR="00E97481" w:rsidRPr="0071185D">
        <w:rPr>
          <w:szCs w:val="28"/>
        </w:rPr>
        <w:t>Ранее европейские сопоставления проводились с трехлетней периодичностью, однако в связи с расширением использования результатов сопоставлений, в частности, с установлением размера взносов и распределения бюджетных ассигнований, страны Евросоюза перешли на год</w:t>
      </w:r>
      <w:r w:rsidR="00A43124" w:rsidRPr="0071185D">
        <w:rPr>
          <w:szCs w:val="28"/>
        </w:rPr>
        <w:t>овые</w:t>
      </w:r>
      <w:r w:rsidR="00E97481" w:rsidRPr="0071185D">
        <w:rPr>
          <w:szCs w:val="28"/>
        </w:rPr>
        <w:t xml:space="preserve"> сопоставления.</w:t>
      </w:r>
    </w:p>
    <w:p w:rsidR="00E97481" w:rsidRPr="0071185D" w:rsidRDefault="00E97481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 xml:space="preserve">Таким образом, европейские страны при координации сопоставлений Евростатом осуществляют годовые сопоставления, неевропейские страны-члены ОЭСР координируются ОЭСР и сопоставления </w:t>
      </w:r>
      <w:r w:rsidR="009742A9" w:rsidRPr="00C207F4">
        <w:rPr>
          <w:szCs w:val="28"/>
        </w:rPr>
        <w:t>проводятся</w:t>
      </w:r>
      <w:r w:rsidR="009742A9" w:rsidRPr="0071185D">
        <w:rPr>
          <w:szCs w:val="28"/>
        </w:rPr>
        <w:t xml:space="preserve"> </w:t>
      </w:r>
      <w:r w:rsidRPr="0071185D">
        <w:rPr>
          <w:szCs w:val="28"/>
        </w:rPr>
        <w:t>каждые три года. Начиная с 1996 г., в этих сопоставлениях принимает участие Российская Федерация (1996, 1999, 2002, 2005, 2008, 2011</w:t>
      </w:r>
      <w:r w:rsidR="009742A9">
        <w:rPr>
          <w:szCs w:val="28"/>
        </w:rPr>
        <w:t xml:space="preserve">, </w:t>
      </w:r>
      <w:r w:rsidR="009742A9" w:rsidRPr="00C207F4">
        <w:rPr>
          <w:szCs w:val="28"/>
        </w:rPr>
        <w:t>2014</w:t>
      </w:r>
      <w:r w:rsidRPr="0071185D">
        <w:rPr>
          <w:szCs w:val="28"/>
        </w:rPr>
        <w:t xml:space="preserve"> гг.).</w:t>
      </w:r>
    </w:p>
    <w:p w:rsidR="00E97481" w:rsidRPr="0071185D" w:rsidRDefault="00E97481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В соответствии с решением Статистической комиссии ООН осуществлено проведение крупнейшего международного статистического проекта - Глобального раунда Программы международных сопоставлений на основе паритетов покупательной способности по данным за 2005 и 2011 гг., в которых приняли участие около 150 стран мира. Общая координация работ по подготовке и проведению Глобального раунда ПМС была возложена на Всемирный банк при поддержке других международных организаций (МВФ, ОЭСР, ЕС). Таким образом, число участвующих стран выросло с 1970 по 2011 гг</w:t>
      </w:r>
      <w:r w:rsidR="00B8090A" w:rsidRPr="0071185D">
        <w:rPr>
          <w:szCs w:val="28"/>
        </w:rPr>
        <w:t>.</w:t>
      </w:r>
      <w:r w:rsidRPr="0071185D">
        <w:rPr>
          <w:szCs w:val="28"/>
        </w:rPr>
        <w:t xml:space="preserve"> более, чем в 15 раз – с 10 до 150.</w:t>
      </w:r>
      <w:r w:rsidR="00D61194" w:rsidRPr="0071185D">
        <w:rPr>
          <w:szCs w:val="28"/>
        </w:rPr>
        <w:t xml:space="preserve"> В настоящее время осуществляется Глобальный раунд ПМС по данным за 2017 г.</w:t>
      </w:r>
    </w:p>
    <w:p w:rsidR="00E97481" w:rsidRPr="0071185D" w:rsidRDefault="00E97481" w:rsidP="009E74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185D">
        <w:rPr>
          <w:szCs w:val="28"/>
        </w:rPr>
        <w:t>Сопоставления в рамках Глобального раунда проводились по региональному принципу: для стран Азиатско-Тихоокеанского региона, Западной Азии, Африки, Южной Америки, ОЭСР - Евростата и СНГ. Результаты региональных сопоставлений с помощью специальных процедур были увязаны друг с другом для получения общих данных для мировой экономики в целом.</w:t>
      </w:r>
    </w:p>
    <w:p w:rsidR="00E97481" w:rsidRPr="0071185D" w:rsidRDefault="00E97481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 xml:space="preserve">Расширение направлений использования результатов международных сопоставлений ВВП, в первую очередь, для административных целей приводит к </w:t>
      </w:r>
      <w:r w:rsidRPr="0071185D">
        <w:rPr>
          <w:szCs w:val="28"/>
        </w:rPr>
        <w:lastRenderedPageBreak/>
        <w:t>необходимости к большей регулярности проведения международных сопоставлений ВВП и необходимости наличия годовых данных.</w:t>
      </w:r>
    </w:p>
    <w:p w:rsidR="00A43124" w:rsidRPr="00D77BEF" w:rsidRDefault="006F7466" w:rsidP="009E745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="00A43124" w:rsidRPr="00D77BEF">
        <w:rPr>
          <w:rFonts w:eastAsia="Calibri"/>
          <w:szCs w:val="28"/>
        </w:rPr>
        <w:t xml:space="preserve">езультаты международных сопоставлений ВВП с сентября 2016 г. учитываются для определения квот </w:t>
      </w:r>
      <w:r w:rsidR="00A43124" w:rsidRPr="0071185D">
        <w:rPr>
          <w:rFonts w:eastAsia="Calibri"/>
          <w:szCs w:val="28"/>
        </w:rPr>
        <w:t xml:space="preserve">и числа голосов </w:t>
      </w:r>
      <w:r w:rsidR="00A43124" w:rsidRPr="00D77BEF">
        <w:rPr>
          <w:rFonts w:eastAsia="Calibri"/>
          <w:szCs w:val="28"/>
        </w:rPr>
        <w:t>в МВФ.</w:t>
      </w:r>
    </w:p>
    <w:p w:rsidR="002B5666" w:rsidRPr="0071185D" w:rsidRDefault="002B5666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 xml:space="preserve">Результаты международных сопоставлений ВВП публикуются с лагом времени 3 года. В этой связи возникает проблема экстраполяции результатов сопоставлений за базисный год. Для ежегодной актуализации базисных результатов международных сопоставлений используются два метода: первый, более сложный, позволяет проводить актуализацию результатов сопоставлений (ППС, индекса физического объема и т.д.) по каждому уровню агрегирования, вплоть до уровня ВВП, другой только для оценки ППС и ВВП на душу населения только на уровне ВВП. </w:t>
      </w:r>
    </w:p>
    <w:p w:rsidR="00B8090A" w:rsidRPr="0071185D" w:rsidRDefault="002B5666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Второй метод получил наименование метода глобальной экстраполяции</w:t>
      </w:r>
      <w:r w:rsidR="006F7466">
        <w:rPr>
          <w:szCs w:val="28"/>
        </w:rPr>
        <w:t>.</w:t>
      </w:r>
      <w:r w:rsidRPr="0071185D">
        <w:rPr>
          <w:szCs w:val="28"/>
        </w:rPr>
        <w:t xml:space="preserve"> Экстраполяция результатов может приводить к существенным расхождениям в результатах, так как опирается на предположение о неизменности структуры цен и объемов. </w:t>
      </w:r>
      <w:r w:rsidR="00B8090A" w:rsidRPr="0071185D">
        <w:rPr>
          <w:szCs w:val="28"/>
        </w:rPr>
        <w:t>Недостатками метода глобальной экстраполяции является использование дефляторов ВВП и индекса физического объема, рассчитываемых на разных базах, что приводит к накоплению ошибки прогноза. Это не дает возможность экстраполировать результаты сопоставлений в течение длительного срока, обычно только в промежуточные годы между раундами сопоставлений (максимум 2-3 года). Метод глобальной экстраполяции не учитывает изменения в ассортименте товаров на национальных рынках и в структуре ВВП.</w:t>
      </w:r>
    </w:p>
    <w:p w:rsidR="00B8090A" w:rsidRPr="0071185D" w:rsidRDefault="004D0103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Р</w:t>
      </w:r>
      <w:r w:rsidR="00B8090A" w:rsidRPr="0071185D">
        <w:rPr>
          <w:szCs w:val="28"/>
        </w:rPr>
        <w:t xml:space="preserve">езультаты сопоставлений отражают экономическую ситуацию в соответствующие годы в участвующих странах. </w:t>
      </w:r>
      <w:r w:rsidRPr="0071185D">
        <w:rPr>
          <w:szCs w:val="28"/>
        </w:rPr>
        <w:t>Поэтому и</w:t>
      </w:r>
      <w:r w:rsidR="00B8090A" w:rsidRPr="0071185D">
        <w:rPr>
          <w:szCs w:val="28"/>
        </w:rPr>
        <w:t>зменение экономической ситуации в странах приводит к изменению результатов сопоставлений.</w:t>
      </w:r>
    </w:p>
    <w:p w:rsidR="00B8090A" w:rsidRPr="0071185D" w:rsidRDefault="00B8090A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Первый метод экстраполяции является методом проведения годовых сопоставлений ВВП.</w:t>
      </w:r>
    </w:p>
    <w:p w:rsidR="002B5666" w:rsidRPr="0071185D" w:rsidRDefault="00B8090A" w:rsidP="009E745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71185D">
        <w:rPr>
          <w:szCs w:val="28"/>
        </w:rPr>
        <w:t>В ЕС каждый год в декабре публикуются результаты сопоставлений за 3 года: каждый год публикуется три набора результатов сопоставлений по каждой стране: предварительный, промежуточный и окончательный. В силу уточнений данных, получения результатов переписей населения и другим причинам могут быть существенные различия между тремя наборами результатов в течение трех лет.</w:t>
      </w:r>
    </w:p>
    <w:p w:rsidR="004D0103" w:rsidRPr="0071185D" w:rsidRDefault="00C86F73" w:rsidP="009E7453">
      <w:pPr>
        <w:ind w:firstLine="709"/>
        <w:jc w:val="both"/>
        <w:rPr>
          <w:szCs w:val="28"/>
        </w:rPr>
      </w:pPr>
      <w:r w:rsidRPr="00D77BEF">
        <w:rPr>
          <w:rFonts w:eastAsia="Calibri"/>
          <w:szCs w:val="28"/>
        </w:rPr>
        <w:t>В ОЭСР начато внедрение метода годовых сопоставлений, начиная с 2016 года за период 2013, 2014 и 2015 годов. Россия прин</w:t>
      </w:r>
      <w:r w:rsidR="006F7466">
        <w:rPr>
          <w:rFonts w:eastAsia="Calibri"/>
          <w:szCs w:val="28"/>
        </w:rPr>
        <w:t xml:space="preserve">имает </w:t>
      </w:r>
      <w:r w:rsidRPr="00D77BEF">
        <w:rPr>
          <w:rFonts w:eastAsia="Calibri"/>
          <w:szCs w:val="28"/>
        </w:rPr>
        <w:t>участие в годовых сопоставлениях ОЭСР за этот период на экспериментальной основе.</w:t>
      </w:r>
      <w:r w:rsidR="006F7466">
        <w:rPr>
          <w:rFonts w:eastAsia="Calibri"/>
          <w:szCs w:val="28"/>
        </w:rPr>
        <w:t xml:space="preserve"> </w:t>
      </w:r>
      <w:r w:rsidR="00D77BEF" w:rsidRPr="00D77BEF">
        <w:rPr>
          <w:szCs w:val="28"/>
        </w:rPr>
        <w:t xml:space="preserve">До 2015 г. данные за 2011-2014 гг. уже рассчитывались с учетом внедренных отдельных элементов годовых сопоставлений и были опубликованы на сайтах ОЭСР, Всемирного банка и Росстата. </w:t>
      </w:r>
    </w:p>
    <w:p w:rsidR="006F7466" w:rsidRDefault="00D77BEF" w:rsidP="009E74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BEF">
        <w:rPr>
          <w:szCs w:val="28"/>
        </w:rPr>
        <w:t xml:space="preserve">Для проведения годовых сопоставлений предусматривается ежегодное предоставление в ОЭСР данных о среднегодовых ценах на потребительские товары и услуги в соответствии с графиком работ (1/3 общего списка потребительских товаров-представителей), индексов потребительских цен по первичным группам классификации расходов ВВП, заполнение ежегодных </w:t>
      </w:r>
      <w:r w:rsidRPr="00D77BEF">
        <w:rPr>
          <w:szCs w:val="28"/>
        </w:rPr>
        <w:lastRenderedPageBreak/>
        <w:t>вопросников по нерыночным услугам и данных о дезагрегации ВВП в соответствии с классификацией расходов за три последних года</w:t>
      </w:r>
      <w:r w:rsidR="004D0103" w:rsidRPr="0071185D">
        <w:rPr>
          <w:szCs w:val="28"/>
        </w:rPr>
        <w:t>.</w:t>
      </w:r>
      <w:r w:rsidRPr="00D77BEF">
        <w:rPr>
          <w:szCs w:val="28"/>
        </w:rPr>
        <w:t xml:space="preserve"> </w:t>
      </w:r>
    </w:p>
    <w:p w:rsidR="004D0103" w:rsidRPr="0071185D" w:rsidRDefault="004D0103" w:rsidP="009E74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185D">
        <w:rPr>
          <w:szCs w:val="28"/>
        </w:rPr>
        <w:t xml:space="preserve">В результате </w:t>
      </w:r>
      <w:r w:rsidR="00D77BEF" w:rsidRPr="00D77BEF">
        <w:rPr>
          <w:szCs w:val="28"/>
        </w:rPr>
        <w:t xml:space="preserve">будут публиковаться полные результаты сопоставлений с разным уровнем точности за три последних года. </w:t>
      </w:r>
    </w:p>
    <w:p w:rsidR="00D77BEF" w:rsidRPr="00D77BEF" w:rsidRDefault="00D77BEF" w:rsidP="009E74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BEF">
        <w:rPr>
          <w:szCs w:val="28"/>
        </w:rPr>
        <w:t xml:space="preserve">Внедрение годовых сопоставлений сопровождается сокращением времени на получение результатов сопоставлений. В частности, если раньше результаты сопоставлений </w:t>
      </w:r>
      <w:r w:rsidR="004D0103" w:rsidRPr="0071185D">
        <w:rPr>
          <w:szCs w:val="28"/>
        </w:rPr>
        <w:t xml:space="preserve">ОЭСР </w:t>
      </w:r>
      <w:r w:rsidRPr="00D77BEF">
        <w:rPr>
          <w:szCs w:val="28"/>
        </w:rPr>
        <w:t>за год сопоставлений публиковались в декабре через 24 месяца, то сейчас через 12 месяцев за три последних года.</w:t>
      </w:r>
    </w:p>
    <w:p w:rsidR="00047F9B" w:rsidRPr="0071185D" w:rsidRDefault="00047F9B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В перспективе развития международных сопоставлений ВВП выделяется несколько направлений:</w:t>
      </w:r>
    </w:p>
    <w:p w:rsidR="00047F9B" w:rsidRPr="0071185D" w:rsidRDefault="00047F9B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1. Дальнейшее совершенствование методологии сопоставлений.</w:t>
      </w:r>
    </w:p>
    <w:p w:rsidR="00047F9B" w:rsidRPr="0071185D" w:rsidRDefault="00047F9B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2. Регулярность работ и постоянный охват большинства стран мира.</w:t>
      </w:r>
    </w:p>
    <w:p w:rsidR="00047F9B" w:rsidRPr="0071185D" w:rsidRDefault="00047F9B" w:rsidP="009E7453">
      <w:pPr>
        <w:ind w:firstLine="709"/>
        <w:jc w:val="both"/>
        <w:rPr>
          <w:szCs w:val="28"/>
        </w:rPr>
      </w:pPr>
      <w:r w:rsidRPr="0071185D">
        <w:rPr>
          <w:szCs w:val="28"/>
        </w:rPr>
        <w:t>3. Расширение областей применения результатов международных сопоставлений международными организациями и правительственными органами.</w:t>
      </w:r>
    </w:p>
    <w:p w:rsidR="00D65D3B" w:rsidRPr="00047F9B" w:rsidRDefault="00D65D3B" w:rsidP="009E7453">
      <w:pPr>
        <w:ind w:firstLine="709"/>
        <w:rPr>
          <w:i/>
          <w:iCs/>
          <w:szCs w:val="28"/>
          <w:u w:val="single"/>
        </w:rPr>
      </w:pPr>
    </w:p>
    <w:p w:rsidR="00D65D3B" w:rsidRPr="009E7453" w:rsidRDefault="00D65D3B" w:rsidP="009E7453">
      <w:pPr>
        <w:ind w:firstLine="709"/>
        <w:rPr>
          <w:b/>
          <w:i/>
          <w:iCs/>
          <w:szCs w:val="28"/>
          <w:u w:val="single"/>
        </w:rPr>
      </w:pPr>
      <w:bookmarkStart w:id="0" w:name="_GoBack"/>
      <w:r w:rsidRPr="009E7453">
        <w:rPr>
          <w:b/>
          <w:i/>
          <w:iCs/>
          <w:szCs w:val="28"/>
          <w:u w:val="single"/>
        </w:rPr>
        <w:t>Литература:</w:t>
      </w:r>
    </w:p>
    <w:bookmarkEnd w:id="0"/>
    <w:p w:rsidR="004D0103" w:rsidRPr="0071185D" w:rsidRDefault="0071185D" w:rsidP="009E7453">
      <w:pPr>
        <w:numPr>
          <w:ilvl w:val="0"/>
          <w:numId w:val="6"/>
        </w:numPr>
        <w:ind w:left="0" w:firstLine="709"/>
        <w:rPr>
          <w:iCs/>
          <w:szCs w:val="28"/>
          <w:lang w:val="en-US"/>
        </w:rPr>
      </w:pPr>
      <w:r w:rsidRPr="0071185D">
        <w:rPr>
          <w:iCs/>
          <w:szCs w:val="28"/>
          <w:lang w:val="en-US"/>
        </w:rPr>
        <w:t>M</w:t>
      </w:r>
      <w:r w:rsidR="004D0103" w:rsidRPr="0071185D">
        <w:rPr>
          <w:iCs/>
          <w:szCs w:val="28"/>
          <w:lang w:val="en-US"/>
        </w:rPr>
        <w:t>easuring</w:t>
      </w:r>
      <w:r w:rsidRPr="0071185D">
        <w:rPr>
          <w:iCs/>
          <w:szCs w:val="28"/>
          <w:lang w:val="en-US"/>
        </w:rPr>
        <w:t xml:space="preserve"> the Real Size of the World Economy. World Bank. Washington, 2013.</w:t>
      </w:r>
    </w:p>
    <w:p w:rsidR="001372FF" w:rsidRPr="0071185D" w:rsidRDefault="001372FF" w:rsidP="009E7453">
      <w:pPr>
        <w:numPr>
          <w:ilvl w:val="0"/>
          <w:numId w:val="6"/>
        </w:numPr>
        <w:ind w:left="0" w:firstLine="709"/>
        <w:rPr>
          <w:iCs/>
          <w:szCs w:val="28"/>
          <w:lang w:val="en-US"/>
        </w:rPr>
      </w:pPr>
      <w:r w:rsidRPr="0071185D">
        <w:rPr>
          <w:rFonts w:cs="Arial"/>
          <w:color w:val="333333"/>
          <w:lang w:val="en"/>
        </w:rPr>
        <w:t>Purchasing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Power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Parities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and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Real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Expenditures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of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World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Economics</w:t>
      </w:r>
      <w:r w:rsidRPr="0071185D">
        <w:rPr>
          <w:rFonts w:cs="Arial"/>
          <w:color w:val="333333"/>
          <w:lang w:val="en-US"/>
        </w:rPr>
        <w:t xml:space="preserve">: </w:t>
      </w:r>
      <w:r w:rsidRPr="0071185D">
        <w:rPr>
          <w:rFonts w:cs="Arial"/>
          <w:color w:val="333333"/>
          <w:lang w:val="en"/>
        </w:rPr>
        <w:t>A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Comprehensive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Report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of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the</w:t>
      </w:r>
      <w:r w:rsidRPr="0071185D">
        <w:rPr>
          <w:rFonts w:cs="Arial"/>
          <w:color w:val="333333"/>
          <w:lang w:val="en-US"/>
        </w:rPr>
        <w:t xml:space="preserve"> 2011 </w:t>
      </w:r>
      <w:r w:rsidRPr="0071185D">
        <w:rPr>
          <w:rFonts w:cs="Arial"/>
          <w:color w:val="333333"/>
          <w:lang w:val="en"/>
        </w:rPr>
        <w:t>International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Comparison</w:t>
      </w:r>
      <w:r w:rsidRPr="0071185D">
        <w:rPr>
          <w:rFonts w:cs="Arial"/>
          <w:color w:val="333333"/>
          <w:lang w:val="en-US"/>
        </w:rPr>
        <w:t xml:space="preserve"> </w:t>
      </w:r>
      <w:r w:rsidRPr="0071185D">
        <w:rPr>
          <w:rFonts w:cs="Arial"/>
          <w:color w:val="333333"/>
          <w:lang w:val="en"/>
        </w:rPr>
        <w:t>Program</w:t>
      </w:r>
      <w:r w:rsidRPr="0071185D">
        <w:rPr>
          <w:rFonts w:cs="Arial"/>
          <w:color w:val="333333"/>
          <w:lang w:val="en-US"/>
        </w:rPr>
        <w:t>. Washin</w:t>
      </w:r>
      <w:r w:rsidR="00D77BEF" w:rsidRPr="0071185D">
        <w:rPr>
          <w:rFonts w:cs="Arial"/>
          <w:color w:val="333333"/>
          <w:lang w:val="en-US"/>
        </w:rPr>
        <w:t>g</w:t>
      </w:r>
      <w:r w:rsidRPr="0071185D">
        <w:rPr>
          <w:rFonts w:cs="Arial"/>
          <w:color w:val="333333"/>
          <w:lang w:val="en-US"/>
        </w:rPr>
        <w:t>ton, World Bank, 2015</w:t>
      </w:r>
    </w:p>
    <w:p w:rsidR="001372FF" w:rsidRPr="0071185D" w:rsidRDefault="001372FF" w:rsidP="009E7453">
      <w:pPr>
        <w:numPr>
          <w:ilvl w:val="0"/>
          <w:numId w:val="6"/>
        </w:numPr>
        <w:ind w:left="0" w:firstLine="709"/>
        <w:rPr>
          <w:iCs/>
          <w:szCs w:val="28"/>
          <w:lang w:val="en-US"/>
        </w:rPr>
      </w:pPr>
      <w:r w:rsidRPr="0071185D">
        <w:rPr>
          <w:kern w:val="36"/>
          <w:szCs w:val="28"/>
          <w:lang w:val="en"/>
        </w:rPr>
        <w:t>Eurostat-OECD Methodological Manual on Purchasing Power Parities (2012 Edition)</w:t>
      </w:r>
      <w:r w:rsidRPr="0071185D">
        <w:rPr>
          <w:kern w:val="36"/>
          <w:szCs w:val="28"/>
          <w:lang w:val="en-US"/>
        </w:rPr>
        <w:t>. Luxembourg, Eurostat, 2012</w:t>
      </w:r>
    </w:p>
    <w:p w:rsidR="001372FF" w:rsidRPr="0071185D" w:rsidRDefault="001372FF" w:rsidP="009E7453">
      <w:pPr>
        <w:numPr>
          <w:ilvl w:val="0"/>
          <w:numId w:val="6"/>
        </w:numPr>
        <w:ind w:left="0" w:firstLine="709"/>
        <w:rPr>
          <w:iCs/>
          <w:szCs w:val="28"/>
        </w:rPr>
      </w:pPr>
      <w:r w:rsidRPr="0071185D">
        <w:rPr>
          <w:spacing w:val="-12"/>
          <w:szCs w:val="28"/>
        </w:rPr>
        <w:t>Международные сопоставления валового внутреннего продукта за 2005 год, М. 2008</w:t>
      </w:r>
    </w:p>
    <w:p w:rsidR="004C3B0A" w:rsidRPr="0071185D" w:rsidRDefault="004C3B0A" w:rsidP="009E7453">
      <w:pPr>
        <w:numPr>
          <w:ilvl w:val="0"/>
          <w:numId w:val="6"/>
        </w:numPr>
        <w:ind w:left="0" w:firstLine="709"/>
        <w:rPr>
          <w:spacing w:val="-12"/>
          <w:szCs w:val="28"/>
        </w:rPr>
      </w:pPr>
      <w:r w:rsidRPr="0071185D">
        <w:rPr>
          <w:spacing w:val="-12"/>
          <w:szCs w:val="28"/>
        </w:rPr>
        <w:t>Международные сопоставления валового внутреннего продукта за 1999-2000 и 2002 годы, М. 2005</w:t>
      </w:r>
    </w:p>
    <w:sectPr w:rsidR="004C3B0A" w:rsidRPr="0071185D" w:rsidSect="00BA3C13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6D" w:rsidRDefault="00463F6D" w:rsidP="00E7487A">
      <w:r>
        <w:separator/>
      </w:r>
    </w:p>
  </w:endnote>
  <w:endnote w:type="continuationSeparator" w:id="0">
    <w:p w:rsidR="00463F6D" w:rsidRDefault="00463F6D" w:rsidP="00E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6D" w:rsidRDefault="00463F6D" w:rsidP="00E7487A">
      <w:r>
        <w:separator/>
      </w:r>
    </w:p>
  </w:footnote>
  <w:footnote w:type="continuationSeparator" w:id="0">
    <w:p w:rsidR="00463F6D" w:rsidRDefault="00463F6D" w:rsidP="00E7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A9" w:rsidRDefault="009742A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E7453">
      <w:rPr>
        <w:noProof/>
      </w:rPr>
      <w:t>3</w:t>
    </w:r>
    <w:r>
      <w:fldChar w:fldCharType="end"/>
    </w:r>
  </w:p>
  <w:p w:rsidR="009742A9" w:rsidRDefault="009742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6D0"/>
    <w:multiLevelType w:val="hybridMultilevel"/>
    <w:tmpl w:val="4686EE50"/>
    <w:lvl w:ilvl="0" w:tplc="60261F5A">
      <w:numFmt w:val="bullet"/>
      <w:lvlText w:val="-"/>
      <w:lvlJc w:val="left"/>
      <w:pPr>
        <w:tabs>
          <w:tab w:val="num" w:pos="510"/>
        </w:tabs>
        <w:ind w:left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15D29"/>
    <w:multiLevelType w:val="hybridMultilevel"/>
    <w:tmpl w:val="6E16AE52"/>
    <w:lvl w:ilvl="0" w:tplc="60261F5A">
      <w:numFmt w:val="bullet"/>
      <w:lvlText w:val="-"/>
      <w:lvlJc w:val="left"/>
      <w:pPr>
        <w:tabs>
          <w:tab w:val="num" w:pos="510"/>
        </w:tabs>
        <w:ind w:left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2FD7"/>
    <w:multiLevelType w:val="hybridMultilevel"/>
    <w:tmpl w:val="0B6EEDE0"/>
    <w:lvl w:ilvl="0" w:tplc="228EF88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F3D24"/>
    <w:multiLevelType w:val="hybridMultilevel"/>
    <w:tmpl w:val="E0325C8A"/>
    <w:lvl w:ilvl="0" w:tplc="228EF8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9F4"/>
    <w:multiLevelType w:val="hybridMultilevel"/>
    <w:tmpl w:val="23561D94"/>
    <w:lvl w:ilvl="0" w:tplc="7A7EC212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5"/>
    <w:rsid w:val="00047F9B"/>
    <w:rsid w:val="000508A0"/>
    <w:rsid w:val="0007166D"/>
    <w:rsid w:val="000A63F7"/>
    <w:rsid w:val="00100A0F"/>
    <w:rsid w:val="00104B96"/>
    <w:rsid w:val="00106C72"/>
    <w:rsid w:val="001133F0"/>
    <w:rsid w:val="001372FF"/>
    <w:rsid w:val="00141AE8"/>
    <w:rsid w:val="00154354"/>
    <w:rsid w:val="001903D0"/>
    <w:rsid w:val="001D4BF0"/>
    <w:rsid w:val="001F3645"/>
    <w:rsid w:val="00254425"/>
    <w:rsid w:val="00287B53"/>
    <w:rsid w:val="002B5666"/>
    <w:rsid w:val="002C2272"/>
    <w:rsid w:val="002F55C3"/>
    <w:rsid w:val="00326621"/>
    <w:rsid w:val="00343157"/>
    <w:rsid w:val="003940E9"/>
    <w:rsid w:val="00396422"/>
    <w:rsid w:val="003E22CF"/>
    <w:rsid w:val="00414195"/>
    <w:rsid w:val="00415A77"/>
    <w:rsid w:val="004311F5"/>
    <w:rsid w:val="00443C15"/>
    <w:rsid w:val="00463F6D"/>
    <w:rsid w:val="0048234D"/>
    <w:rsid w:val="004A1BCF"/>
    <w:rsid w:val="004B656B"/>
    <w:rsid w:val="004B7253"/>
    <w:rsid w:val="004C3B0A"/>
    <w:rsid w:val="004D0103"/>
    <w:rsid w:val="004E4F57"/>
    <w:rsid w:val="0051720F"/>
    <w:rsid w:val="005242F1"/>
    <w:rsid w:val="00534BB1"/>
    <w:rsid w:val="005548E8"/>
    <w:rsid w:val="005E12EA"/>
    <w:rsid w:val="00615777"/>
    <w:rsid w:val="006272DE"/>
    <w:rsid w:val="006470CF"/>
    <w:rsid w:val="00656B6B"/>
    <w:rsid w:val="006817D1"/>
    <w:rsid w:val="006B260B"/>
    <w:rsid w:val="006B3C94"/>
    <w:rsid w:val="006C1D94"/>
    <w:rsid w:val="006D2A2E"/>
    <w:rsid w:val="006E3A65"/>
    <w:rsid w:val="006E7C50"/>
    <w:rsid w:val="006F7466"/>
    <w:rsid w:val="00707096"/>
    <w:rsid w:val="0071185D"/>
    <w:rsid w:val="00753BA8"/>
    <w:rsid w:val="00764786"/>
    <w:rsid w:val="0076694F"/>
    <w:rsid w:val="0077681F"/>
    <w:rsid w:val="007B4CAC"/>
    <w:rsid w:val="007D47F9"/>
    <w:rsid w:val="007E75CD"/>
    <w:rsid w:val="00805836"/>
    <w:rsid w:val="0080734C"/>
    <w:rsid w:val="00836358"/>
    <w:rsid w:val="00885B02"/>
    <w:rsid w:val="008910EF"/>
    <w:rsid w:val="008B00AC"/>
    <w:rsid w:val="008F64F3"/>
    <w:rsid w:val="009010D8"/>
    <w:rsid w:val="009379A1"/>
    <w:rsid w:val="00945519"/>
    <w:rsid w:val="009540A5"/>
    <w:rsid w:val="009742A9"/>
    <w:rsid w:val="0099586C"/>
    <w:rsid w:val="0099674C"/>
    <w:rsid w:val="009970F7"/>
    <w:rsid w:val="009B5BF8"/>
    <w:rsid w:val="009E7453"/>
    <w:rsid w:val="00A1235F"/>
    <w:rsid w:val="00A24AA1"/>
    <w:rsid w:val="00A25981"/>
    <w:rsid w:val="00A426CE"/>
    <w:rsid w:val="00A43124"/>
    <w:rsid w:val="00A8701A"/>
    <w:rsid w:val="00AC20DF"/>
    <w:rsid w:val="00AD5ED5"/>
    <w:rsid w:val="00B15E8E"/>
    <w:rsid w:val="00B44738"/>
    <w:rsid w:val="00B47BDE"/>
    <w:rsid w:val="00B8090A"/>
    <w:rsid w:val="00BA0DB2"/>
    <w:rsid w:val="00BA3C13"/>
    <w:rsid w:val="00BB1683"/>
    <w:rsid w:val="00BD6974"/>
    <w:rsid w:val="00BE07DD"/>
    <w:rsid w:val="00BE5DE4"/>
    <w:rsid w:val="00C06378"/>
    <w:rsid w:val="00C07E31"/>
    <w:rsid w:val="00C207F4"/>
    <w:rsid w:val="00C43592"/>
    <w:rsid w:val="00C75054"/>
    <w:rsid w:val="00C86F73"/>
    <w:rsid w:val="00CA0ED4"/>
    <w:rsid w:val="00CD1245"/>
    <w:rsid w:val="00CF04D8"/>
    <w:rsid w:val="00D20810"/>
    <w:rsid w:val="00D37B6F"/>
    <w:rsid w:val="00D61194"/>
    <w:rsid w:val="00D65D3B"/>
    <w:rsid w:val="00D71FD5"/>
    <w:rsid w:val="00D77BEF"/>
    <w:rsid w:val="00D9051D"/>
    <w:rsid w:val="00D94D56"/>
    <w:rsid w:val="00DA4341"/>
    <w:rsid w:val="00DB156D"/>
    <w:rsid w:val="00DB3EDB"/>
    <w:rsid w:val="00E55F21"/>
    <w:rsid w:val="00E55FBE"/>
    <w:rsid w:val="00E7487A"/>
    <w:rsid w:val="00E97481"/>
    <w:rsid w:val="00EA7B4F"/>
    <w:rsid w:val="00EB3134"/>
    <w:rsid w:val="00EC006A"/>
    <w:rsid w:val="00F27A84"/>
    <w:rsid w:val="00F327F8"/>
    <w:rsid w:val="00F54233"/>
    <w:rsid w:val="00F613FC"/>
    <w:rsid w:val="00F861D3"/>
    <w:rsid w:val="00FA1D61"/>
    <w:rsid w:val="00FC772B"/>
    <w:rsid w:val="00FD3370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9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419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414195"/>
    <w:rPr>
      <w:sz w:val="28"/>
      <w:lang w:val="ru-RU" w:eastAsia="ru-RU" w:bidi="ar-SA"/>
    </w:rPr>
  </w:style>
  <w:style w:type="character" w:styleId="a5">
    <w:name w:val="Hyperlink"/>
    <w:rsid w:val="00FD7D13"/>
    <w:rPr>
      <w:color w:val="0000FF"/>
      <w:u w:val="single"/>
    </w:rPr>
  </w:style>
  <w:style w:type="paragraph" w:styleId="a6">
    <w:name w:val="Balloon Text"/>
    <w:basedOn w:val="a"/>
    <w:semiHidden/>
    <w:rsid w:val="00C7505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E7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7487A"/>
  </w:style>
  <w:style w:type="character" w:styleId="a9">
    <w:name w:val="footnote reference"/>
    <w:rsid w:val="00E7487A"/>
    <w:rPr>
      <w:vertAlign w:val="superscript"/>
    </w:rPr>
  </w:style>
  <w:style w:type="character" w:styleId="aa">
    <w:name w:val="Strong"/>
    <w:qFormat/>
    <w:rsid w:val="001372FF"/>
    <w:rPr>
      <w:b/>
      <w:bCs/>
    </w:rPr>
  </w:style>
  <w:style w:type="paragraph" w:styleId="ab">
    <w:name w:val="header"/>
    <w:basedOn w:val="a"/>
    <w:link w:val="ac"/>
    <w:uiPriority w:val="99"/>
    <w:rsid w:val="00BA3C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3C13"/>
    <w:rPr>
      <w:sz w:val="28"/>
      <w:szCs w:val="24"/>
    </w:rPr>
  </w:style>
  <w:style w:type="paragraph" w:styleId="ad">
    <w:name w:val="footer"/>
    <w:basedOn w:val="a"/>
    <w:link w:val="ae"/>
    <w:rsid w:val="00BA3C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A3C1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9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419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414195"/>
    <w:rPr>
      <w:sz w:val="28"/>
      <w:lang w:val="ru-RU" w:eastAsia="ru-RU" w:bidi="ar-SA"/>
    </w:rPr>
  </w:style>
  <w:style w:type="character" w:styleId="a5">
    <w:name w:val="Hyperlink"/>
    <w:rsid w:val="00FD7D13"/>
    <w:rPr>
      <w:color w:val="0000FF"/>
      <w:u w:val="single"/>
    </w:rPr>
  </w:style>
  <w:style w:type="paragraph" w:styleId="a6">
    <w:name w:val="Balloon Text"/>
    <w:basedOn w:val="a"/>
    <w:semiHidden/>
    <w:rsid w:val="00C7505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E7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7487A"/>
  </w:style>
  <w:style w:type="character" w:styleId="a9">
    <w:name w:val="footnote reference"/>
    <w:rsid w:val="00E7487A"/>
    <w:rPr>
      <w:vertAlign w:val="superscript"/>
    </w:rPr>
  </w:style>
  <w:style w:type="character" w:styleId="aa">
    <w:name w:val="Strong"/>
    <w:qFormat/>
    <w:rsid w:val="001372FF"/>
    <w:rPr>
      <w:b/>
      <w:bCs/>
    </w:rPr>
  </w:style>
  <w:style w:type="paragraph" w:styleId="ab">
    <w:name w:val="header"/>
    <w:basedOn w:val="a"/>
    <w:link w:val="ac"/>
    <w:uiPriority w:val="99"/>
    <w:rsid w:val="00BA3C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3C13"/>
    <w:rPr>
      <w:sz w:val="28"/>
      <w:szCs w:val="24"/>
    </w:rPr>
  </w:style>
  <w:style w:type="paragraph" w:styleId="ad">
    <w:name w:val="footer"/>
    <w:basedOn w:val="a"/>
    <w:link w:val="ae"/>
    <w:rsid w:val="00BA3C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A3C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тенденции в сфере экономики, характеризуемые развитием глобализации и кооперации, усилением конкуренции, определяют необходимость организации деятельности в сфере платежных и расчетных систем, основанной на общепринятых мировых стандартах и л</vt:lpstr>
    </vt:vector>
  </TitlesOfParts>
  <Company>none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тенденции в сфере экономики, характеризуемые развитием глобализации и кооперации, усилением конкуренции, определяют необходимость организации деятельности в сфере платежных и расчетных систем, основанной на общепринятых мировых стандартах и л</dc:title>
  <dc:creator>1310</dc:creator>
  <cp:lastModifiedBy>Емельянова Ольга Юрьевна</cp:lastModifiedBy>
  <cp:revision>2</cp:revision>
  <cp:lastPrinted>2017-05-15T14:15:00Z</cp:lastPrinted>
  <dcterms:created xsi:type="dcterms:W3CDTF">2017-05-15T14:17:00Z</dcterms:created>
  <dcterms:modified xsi:type="dcterms:W3CDTF">2017-05-15T14:17:00Z</dcterms:modified>
</cp:coreProperties>
</file>