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4E4" w:rsidRDefault="00AE54E4">
      <w:pPr>
        <w:pStyle w:val="Style1"/>
        <w:widowControl/>
        <w:spacing w:before="67" w:line="322" w:lineRule="exact"/>
        <w:ind w:left="470"/>
        <w:rPr>
          <w:rStyle w:val="FontStyle11"/>
          <w:lang w:val="en-US"/>
        </w:rPr>
      </w:pPr>
    </w:p>
    <w:p w:rsidR="004E6518" w:rsidRDefault="00AE54E4" w:rsidP="00AE54E4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4E6518">
        <w:rPr>
          <w:b/>
          <w:sz w:val="28"/>
          <w:szCs w:val="28"/>
        </w:rPr>
        <w:t>Навой Антон Викентьевич – профессор Департамента мировой экономики</w:t>
      </w:r>
    </w:p>
    <w:p w:rsidR="00AE54E4" w:rsidRPr="004E6518" w:rsidRDefault="004E6518" w:rsidP="00AE54E4">
      <w:pPr>
        <w:pStyle w:val="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bookmarkStart w:id="0" w:name="_GoBack"/>
      <w:bookmarkEnd w:id="0"/>
      <w:r w:rsidR="00AE54E4" w:rsidRPr="004E651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AE54E4" w:rsidRPr="004E6518">
        <w:rPr>
          <w:b/>
          <w:sz w:val="28"/>
          <w:szCs w:val="28"/>
        </w:rPr>
        <w:t>и мировых финансов, д.э.н.</w:t>
      </w:r>
    </w:p>
    <w:p w:rsidR="00AE54E4" w:rsidRPr="004E6518" w:rsidRDefault="00AE54E4" w:rsidP="00AE54E4">
      <w:pPr>
        <w:pStyle w:val="1"/>
        <w:jc w:val="center"/>
        <w:rPr>
          <w:b/>
          <w:szCs w:val="28"/>
        </w:rPr>
      </w:pPr>
    </w:p>
    <w:p w:rsidR="00775BFC" w:rsidRPr="00775BFC" w:rsidRDefault="00775BFC" w:rsidP="00775BFC"/>
    <w:p w:rsidR="00AE54E4" w:rsidRPr="000507B0" w:rsidRDefault="00AE54E4" w:rsidP="00AE54E4">
      <w:pPr>
        <w:pStyle w:val="1"/>
        <w:jc w:val="center"/>
        <w:rPr>
          <w:b/>
          <w:sz w:val="24"/>
        </w:rPr>
      </w:pPr>
      <w:r w:rsidRPr="000507B0">
        <w:rPr>
          <w:b/>
          <w:sz w:val="24"/>
        </w:rPr>
        <w:t>Т Е З И С Ы</w:t>
      </w:r>
    </w:p>
    <w:p w:rsidR="00AE54E4" w:rsidRPr="000507B0" w:rsidRDefault="00AE54E4" w:rsidP="00AE54E4">
      <w:pPr>
        <w:pStyle w:val="2"/>
        <w:spacing w:after="0" w:line="240" w:lineRule="auto"/>
        <w:jc w:val="center"/>
      </w:pPr>
      <w:r w:rsidRPr="000507B0">
        <w:t>доклада на заседании секции статистики ЦДУ РАН</w:t>
      </w:r>
      <w:r w:rsidR="00AF5AB1">
        <w:t xml:space="preserve">  </w:t>
      </w:r>
      <w:r w:rsidRPr="000507B0">
        <w:t xml:space="preserve"> </w:t>
      </w:r>
      <w:r w:rsidRPr="00AE54E4">
        <w:t>21</w:t>
      </w:r>
      <w:r w:rsidRPr="000507B0">
        <w:t>.03.201</w:t>
      </w:r>
      <w:r w:rsidRPr="00AE54E4">
        <w:t>7</w:t>
      </w:r>
      <w:r w:rsidRPr="000507B0">
        <w:t xml:space="preserve"> </w:t>
      </w:r>
    </w:p>
    <w:p w:rsidR="00AE54E4" w:rsidRPr="000507B0" w:rsidRDefault="00AE54E4" w:rsidP="00AE54E4">
      <w:pPr>
        <w:jc w:val="center"/>
        <w:rPr>
          <w:b/>
          <w:bCs/>
        </w:rPr>
      </w:pPr>
      <w:r w:rsidRPr="000507B0">
        <w:t xml:space="preserve">по теме: </w:t>
      </w:r>
      <w:r w:rsidRPr="00EF0ABF">
        <w:rPr>
          <w:b/>
        </w:rPr>
        <w:t>«</w:t>
      </w:r>
      <w:r w:rsidR="00EF0ABF" w:rsidRPr="00EF0ABF">
        <w:rPr>
          <w:b/>
        </w:rPr>
        <w:t>Проблемы перехода Российской Федерации к новым международным стандартам статистики внешнего сектора (РПБ6). Новые принципы построения взаимосвязей и презентаций внешнего сектора</w:t>
      </w:r>
      <w:r w:rsidRPr="00EF0ABF">
        <w:rPr>
          <w:b/>
          <w:bCs/>
        </w:rPr>
        <w:t>»</w:t>
      </w:r>
    </w:p>
    <w:p w:rsidR="00AE54E4" w:rsidRDefault="00AE54E4" w:rsidP="00AE54E4">
      <w:pPr>
        <w:jc w:val="center"/>
        <w:rPr>
          <w:b/>
          <w:bCs/>
        </w:rPr>
      </w:pPr>
    </w:p>
    <w:p w:rsidR="00775BFC" w:rsidRPr="00CF3B9F" w:rsidRDefault="00775BFC" w:rsidP="00AE54E4">
      <w:pPr>
        <w:jc w:val="center"/>
        <w:rPr>
          <w:b/>
          <w:bCs/>
        </w:rPr>
      </w:pPr>
    </w:p>
    <w:p w:rsidR="00AE54E4" w:rsidRPr="00AF5AB1" w:rsidRDefault="00994171" w:rsidP="00AF5AB1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both"/>
        <w:rPr>
          <w:b/>
        </w:rPr>
      </w:pPr>
      <w:r w:rsidRPr="00AF5AB1">
        <w:rPr>
          <w:rStyle w:val="FontStyle12"/>
          <w:b/>
        </w:rPr>
        <w:t>Шестая редакция Руководства МВФ по платежному балансу и международной инвестиционной позиции (РПБ6)</w:t>
      </w:r>
      <w:r w:rsidRPr="00AF5AB1">
        <w:rPr>
          <w:b/>
          <w:bCs/>
        </w:rPr>
        <w:t xml:space="preserve"> – как новый концептуальный подход МВФ к разработке статистики внешнего сектора </w:t>
      </w:r>
    </w:p>
    <w:p w:rsidR="00AE54E4" w:rsidRPr="00775BFC" w:rsidRDefault="00AE54E4" w:rsidP="00AF5AB1">
      <w:pPr>
        <w:ind w:firstLine="709"/>
        <w:jc w:val="both"/>
        <w:rPr>
          <w:sz w:val="16"/>
          <w:szCs w:val="16"/>
        </w:rPr>
      </w:pPr>
    </w:p>
    <w:p w:rsidR="00AE54E4" w:rsidRPr="00AF5AB1" w:rsidRDefault="00AE54E4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ab/>
      </w:r>
      <w:r w:rsidRPr="00AF5AB1">
        <w:rPr>
          <w:rStyle w:val="FontStyle12"/>
          <w:i/>
        </w:rPr>
        <w:t>Платежный баланс</w:t>
      </w:r>
      <w:r w:rsidRPr="00AF5AB1">
        <w:rPr>
          <w:rStyle w:val="FontStyle12"/>
        </w:rPr>
        <w:t xml:space="preserve"> - статистическая система, в которой отражаются все экономические операции (потоки) между резидентами данной страны и резидентами других стран (нерезидентами), которые произошли в течение определенного периода времени. </w:t>
      </w:r>
      <w:r w:rsidRPr="00AF5AB1">
        <w:rPr>
          <w:rStyle w:val="FontStyle12"/>
          <w:i/>
        </w:rPr>
        <w:t>Международная инвестиционная позиция</w:t>
      </w:r>
      <w:r w:rsidRPr="00AF5AB1">
        <w:rPr>
          <w:rStyle w:val="FontStyle12"/>
        </w:rPr>
        <w:t xml:space="preserve"> - статистический отчет, составляемый на определенную дату, отражающий стоимостной объем всех финансовых иностранных активов и обязательств страны.</w:t>
      </w:r>
    </w:p>
    <w:p w:rsidR="00AE54E4" w:rsidRPr="00AF5AB1" w:rsidRDefault="00AE54E4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С 2012 года многие страны, включая Россию, начали переход к внедрению рекомендаций шестой редакции Руководства МВФ по платежному балансу и международной</w:t>
      </w:r>
      <w:r w:rsidR="00D64EFE" w:rsidRPr="00AF5AB1">
        <w:rPr>
          <w:rStyle w:val="FontStyle12"/>
        </w:rPr>
        <w:t xml:space="preserve"> инвестиционной позиции (РПБ6).</w:t>
      </w:r>
    </w:p>
    <w:p w:rsidR="00D64EFE" w:rsidRPr="00AF5AB1" w:rsidRDefault="00994171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Работа над РПБ6 продолжалась в течение почти 20 лет</w:t>
      </w:r>
      <w:r w:rsidR="00150517" w:rsidRPr="00AF5AB1">
        <w:rPr>
          <w:rStyle w:val="FontStyle12"/>
        </w:rPr>
        <w:t>. Новая редакция вобрала в себя основные изменения, произошедшие на международном финансовом рынке, а также в сфере развития статистическ</w:t>
      </w:r>
      <w:r w:rsidR="00D64EFE" w:rsidRPr="00AF5AB1">
        <w:rPr>
          <w:rStyle w:val="FontStyle12"/>
        </w:rPr>
        <w:t xml:space="preserve">ой деятельности. </w:t>
      </w:r>
    </w:p>
    <w:p w:rsidR="00D64EFE" w:rsidRPr="00AF5AB1" w:rsidRDefault="00D64EFE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- гармонизация принципов учета с СНС 2008;</w:t>
      </w:r>
    </w:p>
    <w:p w:rsidR="00D64EFE" w:rsidRPr="00AF5AB1" w:rsidRDefault="00D64EFE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- усложнение состава инструментов, обращающихся на финансовом рынке и усиление роли производных финансовых инструментов;</w:t>
      </w:r>
    </w:p>
    <w:p w:rsidR="00D64EFE" w:rsidRPr="00AF5AB1" w:rsidRDefault="00D64EFE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- новые тенденции в движении товаров и услуг, в том числе не пересекающих грани</w:t>
      </w:r>
      <w:r w:rsidR="00F221CB" w:rsidRPr="00AF5AB1">
        <w:rPr>
          <w:rStyle w:val="FontStyle12"/>
        </w:rPr>
        <w:t>цы страны;</w:t>
      </w:r>
    </w:p>
    <w:p w:rsidR="00F221CB" w:rsidRPr="00AF5AB1" w:rsidRDefault="00F221CB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- усиление волатильности на финансовых рынках и значительные колебания стоимости активов и обязательств в результате переоценок;</w:t>
      </w:r>
    </w:p>
    <w:p w:rsidR="00F221CB" w:rsidRPr="00AF5AB1" w:rsidRDefault="00F221CB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- развитие валютных союзов, появление центральных банков валютных союзов и наднациональных валют;</w:t>
      </w:r>
    </w:p>
    <w:p w:rsidR="003D6E48" w:rsidRPr="00AF5AB1" w:rsidRDefault="003D6E48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- эволюцию принципов учета СДР.</w:t>
      </w:r>
    </w:p>
    <w:p w:rsidR="00AE54E4" w:rsidRPr="00AF5AB1" w:rsidRDefault="00AE54E4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Концептуально РПБ6 сохраняет преемственность с методологией предыдущего (пятого) издания (РПБ5). В РПБ6 гармонизированы рекомендации МВФ в области статистики внешнего сектора с обновленной Системой национальных счетов (СНС 2008) и других разделов макроэкономической статистики.</w:t>
      </w:r>
    </w:p>
    <w:p w:rsidR="00AE54E4" w:rsidRPr="00AF5AB1" w:rsidRDefault="00AE54E4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Прежние данные статистики платежного баланса, основанные на рекомендациях РПБ5, в целом остаются сопоставимыми с агрегированными данными, составленными по новой методологии. Тем не менее, в целях обеспечения чистоты методологии и более полной сопоставимости новых и ранее опубликованных временных рядов детализированных статистических показателей, составители платежного баланса приняли решение пересмотреть и уточнить ряды данных статистики внешнего сектора.</w:t>
      </w:r>
    </w:p>
    <w:p w:rsidR="00994171" w:rsidRDefault="00994171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</w:p>
    <w:p w:rsidR="00775BFC" w:rsidRDefault="00775BFC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</w:p>
    <w:p w:rsidR="00775BFC" w:rsidRDefault="00775BFC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</w:p>
    <w:p w:rsidR="00775BFC" w:rsidRDefault="00775BFC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</w:p>
    <w:p w:rsidR="003D238D" w:rsidRPr="00AF5AB1" w:rsidRDefault="00E3346D" w:rsidP="00AF5AB1">
      <w:pPr>
        <w:pStyle w:val="Style1"/>
        <w:widowControl/>
        <w:spacing w:line="240" w:lineRule="auto"/>
        <w:ind w:firstLine="709"/>
        <w:jc w:val="both"/>
        <w:rPr>
          <w:rStyle w:val="FontStyle11"/>
          <w:sz w:val="24"/>
          <w:szCs w:val="24"/>
        </w:rPr>
      </w:pPr>
      <w:r w:rsidRPr="00AF5AB1">
        <w:rPr>
          <w:rStyle w:val="FontStyle11"/>
          <w:sz w:val="24"/>
          <w:szCs w:val="24"/>
          <w:lang w:val="en-US"/>
        </w:rPr>
        <w:lastRenderedPageBreak/>
        <w:t>II</w:t>
      </w:r>
      <w:r w:rsidR="0057236C" w:rsidRPr="00AF5AB1">
        <w:rPr>
          <w:rStyle w:val="FontStyle11"/>
          <w:sz w:val="24"/>
          <w:szCs w:val="24"/>
        </w:rPr>
        <w:t xml:space="preserve">. </w:t>
      </w:r>
      <w:r w:rsidR="004914B0">
        <w:rPr>
          <w:rStyle w:val="FontStyle11"/>
          <w:sz w:val="24"/>
          <w:szCs w:val="24"/>
        </w:rPr>
        <w:t xml:space="preserve"> </w:t>
      </w:r>
      <w:r w:rsidR="00AE54E4" w:rsidRPr="00AF5AB1">
        <w:rPr>
          <w:rStyle w:val="FontStyle11"/>
          <w:sz w:val="24"/>
          <w:szCs w:val="24"/>
        </w:rPr>
        <w:t>О</w:t>
      </w:r>
      <w:r w:rsidR="00842AC4" w:rsidRPr="00AF5AB1">
        <w:rPr>
          <w:rStyle w:val="FontStyle11"/>
          <w:sz w:val="24"/>
          <w:szCs w:val="24"/>
        </w:rPr>
        <w:t>сновны</w:t>
      </w:r>
      <w:r w:rsidR="00AE54E4" w:rsidRPr="00AF5AB1">
        <w:rPr>
          <w:rStyle w:val="FontStyle11"/>
          <w:sz w:val="24"/>
          <w:szCs w:val="24"/>
        </w:rPr>
        <w:t>е</w:t>
      </w:r>
      <w:r w:rsidR="00842AC4" w:rsidRPr="00AF5AB1">
        <w:rPr>
          <w:rStyle w:val="FontStyle11"/>
          <w:sz w:val="24"/>
          <w:szCs w:val="24"/>
        </w:rPr>
        <w:t xml:space="preserve"> изменени</w:t>
      </w:r>
      <w:r w:rsidR="00AE54E4" w:rsidRPr="00AF5AB1">
        <w:rPr>
          <w:rStyle w:val="FontStyle11"/>
          <w:sz w:val="24"/>
          <w:szCs w:val="24"/>
        </w:rPr>
        <w:t>я</w:t>
      </w:r>
      <w:r w:rsidR="00842AC4" w:rsidRPr="00AF5AB1">
        <w:rPr>
          <w:rStyle w:val="FontStyle11"/>
          <w:sz w:val="24"/>
          <w:szCs w:val="24"/>
        </w:rPr>
        <w:t>, внесенны</w:t>
      </w:r>
      <w:r w:rsidR="00AE54E4" w:rsidRPr="00AF5AB1">
        <w:rPr>
          <w:rStyle w:val="FontStyle11"/>
          <w:sz w:val="24"/>
          <w:szCs w:val="24"/>
        </w:rPr>
        <w:t>е</w:t>
      </w:r>
      <w:r w:rsidR="00842AC4" w:rsidRPr="00AF5AB1">
        <w:rPr>
          <w:rStyle w:val="FontStyle11"/>
          <w:sz w:val="24"/>
          <w:szCs w:val="24"/>
        </w:rPr>
        <w:t xml:space="preserve"> в платежный баланс в соответствии с </w:t>
      </w:r>
      <w:r w:rsidR="00AE54E4" w:rsidRPr="00AF5AB1">
        <w:rPr>
          <w:rStyle w:val="FontStyle11"/>
          <w:sz w:val="24"/>
          <w:szCs w:val="24"/>
        </w:rPr>
        <w:t>РПБ6</w:t>
      </w:r>
    </w:p>
    <w:p w:rsidR="00775BFC" w:rsidRPr="00775BFC" w:rsidRDefault="00775BFC" w:rsidP="00AF5AB1">
      <w:pPr>
        <w:pStyle w:val="Style1"/>
        <w:widowControl/>
        <w:spacing w:line="240" w:lineRule="auto"/>
        <w:ind w:firstLine="709"/>
        <w:jc w:val="both"/>
        <w:rPr>
          <w:rStyle w:val="FontStyle11"/>
          <w:sz w:val="16"/>
          <w:szCs w:val="16"/>
        </w:rPr>
      </w:pPr>
    </w:p>
    <w:p w:rsidR="003D238D" w:rsidRDefault="00E3346D" w:rsidP="00AF5AB1">
      <w:pPr>
        <w:pStyle w:val="Style1"/>
        <w:widowControl/>
        <w:spacing w:line="240" w:lineRule="auto"/>
        <w:ind w:firstLine="709"/>
        <w:jc w:val="both"/>
        <w:rPr>
          <w:rStyle w:val="FontStyle11"/>
          <w:sz w:val="24"/>
          <w:szCs w:val="24"/>
        </w:rPr>
      </w:pPr>
      <w:r w:rsidRPr="00AF5AB1">
        <w:rPr>
          <w:rStyle w:val="FontStyle11"/>
          <w:sz w:val="24"/>
          <w:szCs w:val="24"/>
          <w:lang w:val="en-US"/>
        </w:rPr>
        <w:t>II</w:t>
      </w:r>
      <w:r w:rsidR="00003076" w:rsidRPr="00AF5AB1">
        <w:rPr>
          <w:rStyle w:val="FontStyle11"/>
          <w:sz w:val="24"/>
          <w:szCs w:val="24"/>
        </w:rPr>
        <w:t>.</w:t>
      </w:r>
      <w:r w:rsidR="00842AC4" w:rsidRPr="00AF5AB1">
        <w:rPr>
          <w:rStyle w:val="FontStyle11"/>
          <w:sz w:val="24"/>
          <w:szCs w:val="24"/>
        </w:rPr>
        <w:t>1.  Принципы</w:t>
      </w:r>
      <w:r w:rsidR="00003076" w:rsidRPr="00AF5AB1">
        <w:rPr>
          <w:rStyle w:val="FontStyle11"/>
          <w:sz w:val="24"/>
          <w:szCs w:val="24"/>
        </w:rPr>
        <w:t xml:space="preserve"> </w:t>
      </w:r>
      <w:r w:rsidR="00842AC4" w:rsidRPr="00AF5AB1">
        <w:rPr>
          <w:rStyle w:val="FontStyle11"/>
          <w:sz w:val="24"/>
          <w:szCs w:val="24"/>
        </w:rPr>
        <w:t>учета</w:t>
      </w:r>
    </w:p>
    <w:p w:rsidR="00775BFC" w:rsidRPr="00775BFC" w:rsidRDefault="00775BFC" w:rsidP="00AF5AB1">
      <w:pPr>
        <w:pStyle w:val="Style1"/>
        <w:widowControl/>
        <w:spacing w:line="240" w:lineRule="auto"/>
        <w:ind w:firstLine="709"/>
        <w:jc w:val="both"/>
        <w:rPr>
          <w:rStyle w:val="FontStyle11"/>
          <w:sz w:val="16"/>
          <w:szCs w:val="16"/>
        </w:rPr>
      </w:pPr>
    </w:p>
    <w:p w:rsidR="003D238D" w:rsidRPr="00AF5AB1" w:rsidRDefault="00842AC4" w:rsidP="00AF5AB1">
      <w:pPr>
        <w:pStyle w:val="Style3"/>
        <w:widowControl/>
        <w:numPr>
          <w:ilvl w:val="0"/>
          <w:numId w:val="1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В счете текущих операций и счете операций с капиталом -операции и по кредиту и по дебету регистрируются со знаком «плюс»</w:t>
      </w:r>
      <w:r w:rsidR="00AE54E4" w:rsidRPr="00AF5AB1">
        <w:rPr>
          <w:rStyle w:val="FontStyle12"/>
        </w:rPr>
        <w:t>.</w:t>
      </w:r>
      <w:r w:rsidRPr="00AF5AB1">
        <w:rPr>
          <w:rStyle w:val="FontStyle12"/>
        </w:rPr>
        <w:t xml:space="preserve"> Чистое кредитование/чистое заимствование по данным счета текущих операций и счета операций с капиталом представляет собой итог кредитов за вычетом дебетов.</w:t>
      </w:r>
    </w:p>
    <w:p w:rsidR="003D238D" w:rsidRPr="00AF5AB1" w:rsidRDefault="00842AC4" w:rsidP="00AF5AB1">
      <w:pPr>
        <w:pStyle w:val="Style3"/>
        <w:widowControl/>
        <w:numPr>
          <w:ilvl w:val="0"/>
          <w:numId w:val="1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В финансовом счете используются наименования «чистое приобретение финансовых активов» и «чистое принятие обязательств» вместо ранее используемых терминов - «дебет» и «кредит». Чистое приобретение активов равно увеличению активов за вычетом уменьшения активов. Чистое принятие обязательств равно увеличению обязательств за вычетом уменьшения обязательств.</w:t>
      </w:r>
    </w:p>
    <w:p w:rsidR="003D238D" w:rsidRPr="00AF5AB1" w:rsidRDefault="00842AC4" w:rsidP="00AF5AB1">
      <w:pPr>
        <w:pStyle w:val="Style3"/>
        <w:widowControl/>
        <w:numPr>
          <w:ilvl w:val="0"/>
          <w:numId w:val="1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Изменение со знаком плюс указывает на увеличение активов или обязательств, а изменение со знаком минус — на уменьшение активов или обязательств. В соответствии с 5-м изданием Руководства по платежному балансу увеличение активов регистрировалось со знаком «минус», уменьшение активов - со знаком «плюс».</w:t>
      </w:r>
    </w:p>
    <w:p w:rsidR="003D238D" w:rsidRPr="00AF5AB1" w:rsidRDefault="00842AC4" w:rsidP="00AF5AB1">
      <w:pPr>
        <w:pStyle w:val="Style3"/>
        <w:widowControl/>
        <w:numPr>
          <w:ilvl w:val="0"/>
          <w:numId w:val="1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В связи с унификацией с системой национальных счетов сальдо финансового счета называется «чистое кредитование/чистое заимствование». Чистое кредитование означает, что, в чистом выражении, экономика предоставляет </w:t>
      </w:r>
      <w:r w:rsidR="00AE54E4" w:rsidRPr="00AF5AB1">
        <w:rPr>
          <w:rStyle w:val="FontStyle12"/>
        </w:rPr>
        <w:t xml:space="preserve">ресурсы </w:t>
      </w:r>
      <w:r w:rsidRPr="00AF5AB1">
        <w:rPr>
          <w:rStyle w:val="FontStyle12"/>
        </w:rPr>
        <w:t>остальному миру с точки зрения приобретения и выбытия финансовых активов и принятия и погашения обязательств (чистое заимствование означает противоположное.) Чистое кредитование/чистое заимствование по данным финансового счета представляет собой итог чистого приобретения активов за вычетом чистого принятия обязательств.</w:t>
      </w:r>
    </w:p>
    <w:p w:rsidR="003D238D" w:rsidRPr="00AF5AB1" w:rsidRDefault="00842AC4" w:rsidP="00AF5AB1">
      <w:pPr>
        <w:pStyle w:val="Style3"/>
        <w:widowControl/>
        <w:numPr>
          <w:ilvl w:val="0"/>
          <w:numId w:val="1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Изменения в финансовых активах и обязательствах, обусловленные изменениями резидентной принадлежности физических лиц, рассматриваются как другие изменения в объеме активов (изменения классификации), а не как операции. В соответствии с этим подходом потоки капитальных трансфертов, связанные с миграцией в платежном балансе отражаться не должны.</w:t>
      </w:r>
    </w:p>
    <w:p w:rsidR="00B70DF2" w:rsidRPr="00AF5AB1" w:rsidRDefault="004904D6" w:rsidP="00AF5AB1">
      <w:pPr>
        <w:pStyle w:val="Style3"/>
        <w:widowControl/>
        <w:numPr>
          <w:ilvl w:val="0"/>
          <w:numId w:val="1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Операции с иностранными активами и обязательствами между </w:t>
      </w:r>
      <w:r w:rsidR="00003076" w:rsidRPr="00AF5AB1">
        <w:rPr>
          <w:rStyle w:val="FontStyle12"/>
        </w:rPr>
        <w:t>резидентами не включаются в платежный баланс, но отражаются в международной инвестиционной позиции как «прочие изменения».</w:t>
      </w:r>
    </w:p>
    <w:p w:rsidR="003D238D" w:rsidRPr="00AF5AB1" w:rsidRDefault="00842AC4" w:rsidP="00AF5AB1">
      <w:pPr>
        <w:pStyle w:val="Style3"/>
        <w:widowControl/>
        <w:numPr>
          <w:ilvl w:val="0"/>
          <w:numId w:val="1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Статистические расхождения получаются как остаточная величина как чистое кредитование/чистое заимствование и могут быть выведены из финансового счета за вычетом тех же статей, полученных из счета текущих операций и счета операций с капиталом.</w:t>
      </w:r>
    </w:p>
    <w:p w:rsidR="00775BFC" w:rsidRPr="00775BFC" w:rsidRDefault="00775BFC" w:rsidP="00AF5AB1">
      <w:pPr>
        <w:pStyle w:val="Style2"/>
        <w:widowControl/>
        <w:tabs>
          <w:tab w:val="left" w:pos="1411"/>
        </w:tabs>
        <w:ind w:firstLine="709"/>
        <w:jc w:val="both"/>
        <w:rPr>
          <w:rStyle w:val="FontStyle11"/>
          <w:sz w:val="16"/>
          <w:szCs w:val="16"/>
        </w:rPr>
      </w:pPr>
    </w:p>
    <w:p w:rsidR="003D238D" w:rsidRPr="00AF5AB1" w:rsidRDefault="00E3346D" w:rsidP="00AF5AB1">
      <w:pPr>
        <w:pStyle w:val="Style2"/>
        <w:widowControl/>
        <w:tabs>
          <w:tab w:val="left" w:pos="1411"/>
        </w:tabs>
        <w:ind w:firstLine="709"/>
        <w:jc w:val="both"/>
        <w:rPr>
          <w:rStyle w:val="FontStyle11"/>
          <w:sz w:val="24"/>
          <w:szCs w:val="24"/>
        </w:rPr>
      </w:pPr>
      <w:r w:rsidRPr="00AF5AB1">
        <w:rPr>
          <w:rStyle w:val="FontStyle11"/>
          <w:sz w:val="24"/>
          <w:szCs w:val="24"/>
          <w:lang w:val="en-US"/>
        </w:rPr>
        <w:t>II.2</w:t>
      </w:r>
      <w:r w:rsidR="00003076" w:rsidRPr="00AF5AB1">
        <w:rPr>
          <w:rStyle w:val="FontStyle11"/>
          <w:sz w:val="24"/>
          <w:szCs w:val="24"/>
        </w:rPr>
        <w:t xml:space="preserve">. </w:t>
      </w:r>
      <w:r w:rsidR="00775BFC">
        <w:rPr>
          <w:rStyle w:val="FontStyle11"/>
          <w:sz w:val="24"/>
          <w:szCs w:val="24"/>
        </w:rPr>
        <w:t xml:space="preserve"> </w:t>
      </w:r>
      <w:r w:rsidR="00842AC4" w:rsidRPr="00AF5AB1">
        <w:rPr>
          <w:rStyle w:val="FontStyle11"/>
          <w:sz w:val="24"/>
          <w:szCs w:val="24"/>
        </w:rPr>
        <w:t>Институциональные секторы</w:t>
      </w:r>
    </w:p>
    <w:p w:rsidR="003D238D" w:rsidRPr="00775BFC" w:rsidRDefault="003D238D" w:rsidP="00AF5AB1">
      <w:pPr>
        <w:widowControl/>
        <w:ind w:firstLine="709"/>
        <w:jc w:val="both"/>
        <w:rPr>
          <w:sz w:val="16"/>
          <w:szCs w:val="16"/>
        </w:rPr>
      </w:pPr>
    </w:p>
    <w:p w:rsidR="003D238D" w:rsidRPr="00AF5AB1" w:rsidRDefault="00E13217" w:rsidP="00AF5AB1">
      <w:pPr>
        <w:pStyle w:val="Style3"/>
        <w:widowControl/>
        <w:numPr>
          <w:ilvl w:val="0"/>
          <w:numId w:val="3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В рамках гармонизации с СНС2008 в</w:t>
      </w:r>
      <w:r w:rsidR="00842AC4" w:rsidRPr="00AF5AB1">
        <w:rPr>
          <w:rStyle w:val="FontStyle12"/>
        </w:rPr>
        <w:t>ведена применяемая в системе национальных счетов классификация институциональных секторов. Для этого вместо термина «сектор органов денежно-кредитного регулирования» используется понятие «центральный банк», «банковский сектор» именуется «сектором депозитных организаций, кроме центрального банка».</w:t>
      </w:r>
    </w:p>
    <w:p w:rsidR="003D238D" w:rsidRDefault="00842AC4" w:rsidP="00AF5AB1">
      <w:pPr>
        <w:pStyle w:val="Style3"/>
        <w:widowControl/>
        <w:numPr>
          <w:ilvl w:val="0"/>
          <w:numId w:val="3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Информация о других секторах разделена на операции прочих финансовых организаций и операции нефинансовых предприятий, домашних хозяйств и некоммерческих организаций, обслуживающих домашние хозяйства (НКОДХ).</w:t>
      </w:r>
    </w:p>
    <w:p w:rsidR="00775BFC" w:rsidRPr="00775BFC" w:rsidRDefault="00775BFC" w:rsidP="00775BFC">
      <w:pPr>
        <w:pStyle w:val="Style3"/>
        <w:widowControl/>
        <w:tabs>
          <w:tab w:val="left" w:pos="1406"/>
        </w:tabs>
        <w:spacing w:line="240" w:lineRule="auto"/>
        <w:ind w:left="709" w:firstLine="0"/>
        <w:rPr>
          <w:rStyle w:val="FontStyle12"/>
          <w:sz w:val="16"/>
          <w:szCs w:val="16"/>
        </w:rPr>
      </w:pPr>
    </w:p>
    <w:p w:rsidR="003D238D" w:rsidRDefault="00E3346D" w:rsidP="00AF5AB1">
      <w:pPr>
        <w:pStyle w:val="Style2"/>
        <w:widowControl/>
        <w:tabs>
          <w:tab w:val="left" w:pos="1411"/>
        </w:tabs>
        <w:ind w:firstLine="709"/>
        <w:jc w:val="both"/>
        <w:rPr>
          <w:rStyle w:val="FontStyle11"/>
          <w:sz w:val="24"/>
          <w:szCs w:val="24"/>
        </w:rPr>
      </w:pPr>
      <w:r w:rsidRPr="00AF5AB1">
        <w:rPr>
          <w:rStyle w:val="FontStyle11"/>
          <w:sz w:val="24"/>
          <w:szCs w:val="24"/>
          <w:lang w:val="en-US"/>
        </w:rPr>
        <w:t>II</w:t>
      </w:r>
      <w:r w:rsidR="00003076" w:rsidRPr="00AF5AB1">
        <w:rPr>
          <w:rStyle w:val="FontStyle11"/>
          <w:sz w:val="24"/>
          <w:szCs w:val="24"/>
        </w:rPr>
        <w:t xml:space="preserve">.3. </w:t>
      </w:r>
      <w:r w:rsidR="00842AC4" w:rsidRPr="00AF5AB1">
        <w:rPr>
          <w:rStyle w:val="FontStyle11"/>
          <w:sz w:val="24"/>
          <w:szCs w:val="24"/>
        </w:rPr>
        <w:t>Классификации финансовых активов и обязательств</w:t>
      </w:r>
    </w:p>
    <w:p w:rsidR="00775BFC" w:rsidRPr="00775BFC" w:rsidRDefault="00775BFC" w:rsidP="00AF5AB1">
      <w:pPr>
        <w:pStyle w:val="Style2"/>
        <w:widowControl/>
        <w:tabs>
          <w:tab w:val="left" w:pos="1411"/>
        </w:tabs>
        <w:ind w:firstLine="709"/>
        <w:jc w:val="both"/>
        <w:rPr>
          <w:rStyle w:val="FontStyle11"/>
          <w:sz w:val="16"/>
          <w:szCs w:val="16"/>
        </w:rPr>
      </w:pPr>
    </w:p>
    <w:p w:rsidR="003D238D" w:rsidRPr="00AF5AB1" w:rsidRDefault="00842AC4" w:rsidP="00AF5AB1">
      <w:pPr>
        <w:pStyle w:val="Style3"/>
        <w:widowControl/>
        <w:numPr>
          <w:ilvl w:val="0"/>
          <w:numId w:val="3"/>
        </w:numPr>
        <w:tabs>
          <w:tab w:val="left" w:pos="1406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Классификация финансовых активов и обязательств согласована с системой национальных счетов и денежно-кредитной статистикой в части инструментов участия в капитале, долговых обязательств и других инструментов.</w:t>
      </w:r>
    </w:p>
    <w:p w:rsidR="00B70DF2" w:rsidRPr="00AF5AB1" w:rsidRDefault="00B70DF2" w:rsidP="00AF5AB1">
      <w:pPr>
        <w:pStyle w:val="Style3"/>
        <w:widowControl/>
        <w:numPr>
          <w:ilvl w:val="0"/>
          <w:numId w:val="5"/>
        </w:numPr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В составе инструментов </w:t>
      </w:r>
      <w:r w:rsidR="00034DE3" w:rsidRPr="00AF5AB1">
        <w:rPr>
          <w:rStyle w:val="FontStyle12"/>
        </w:rPr>
        <w:t>появилась статья «наличная валюта и депозиты».</w:t>
      </w:r>
    </w:p>
    <w:p w:rsidR="003D238D" w:rsidRPr="00AF5AB1" w:rsidRDefault="00842AC4" w:rsidP="00AF5AB1">
      <w:pPr>
        <w:pStyle w:val="Style3"/>
        <w:widowControl/>
        <w:numPr>
          <w:ilvl w:val="0"/>
          <w:numId w:val="5"/>
        </w:numPr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lastRenderedPageBreak/>
        <w:t>Распределения специальные права заимствования (СПЗ) представляют собой обязательства получателя средств (согласно предыдущему подходу СПЗ были уникальным финансовым инструментом, отражаемым исключительно в составе активов).</w:t>
      </w:r>
    </w:p>
    <w:p w:rsidR="003D238D" w:rsidRPr="00AF5AB1" w:rsidRDefault="00842AC4" w:rsidP="00AF5AB1">
      <w:pPr>
        <w:pStyle w:val="Style3"/>
        <w:widowControl/>
        <w:numPr>
          <w:ilvl w:val="0"/>
          <w:numId w:val="5"/>
        </w:numPr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Такие термины, как «облигации и кредитные ноты» и «инструменты денежного рынка», заменены на «долгосрочные долговые ценные бумаги» и «краткосрочные долговые ценные бумаги» соответственно.</w:t>
      </w:r>
    </w:p>
    <w:p w:rsidR="003D238D" w:rsidRDefault="00842AC4" w:rsidP="00AF5AB1">
      <w:pPr>
        <w:pStyle w:val="Style3"/>
        <w:widowControl/>
        <w:numPr>
          <w:ilvl w:val="0"/>
          <w:numId w:val="5"/>
        </w:numPr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Просроченная задолженность указывается в составе первоначальных активов/обязательств, а не по статье погашения первоначального с одновременным образованием нового краткосрочного обязательства.</w:t>
      </w:r>
    </w:p>
    <w:p w:rsidR="00775BFC" w:rsidRPr="00775BFC" w:rsidRDefault="00775BFC" w:rsidP="00775BFC">
      <w:pPr>
        <w:pStyle w:val="Style3"/>
        <w:widowControl/>
        <w:tabs>
          <w:tab w:val="left" w:pos="1070"/>
        </w:tabs>
        <w:spacing w:line="240" w:lineRule="auto"/>
        <w:ind w:left="709" w:firstLine="0"/>
        <w:rPr>
          <w:rStyle w:val="FontStyle12"/>
          <w:sz w:val="16"/>
          <w:szCs w:val="16"/>
        </w:rPr>
      </w:pPr>
    </w:p>
    <w:p w:rsidR="003D238D" w:rsidRDefault="00E3346D" w:rsidP="00AF5AB1">
      <w:pPr>
        <w:pStyle w:val="Style2"/>
        <w:widowControl/>
        <w:tabs>
          <w:tab w:val="left" w:pos="1411"/>
        </w:tabs>
        <w:ind w:firstLine="709"/>
        <w:jc w:val="both"/>
        <w:rPr>
          <w:rStyle w:val="FontStyle11"/>
          <w:sz w:val="24"/>
          <w:szCs w:val="24"/>
        </w:rPr>
      </w:pPr>
      <w:r w:rsidRPr="00AF5AB1">
        <w:rPr>
          <w:rStyle w:val="FontStyle11"/>
          <w:sz w:val="24"/>
          <w:szCs w:val="24"/>
          <w:lang w:val="en-US"/>
        </w:rPr>
        <w:t>II</w:t>
      </w:r>
      <w:r w:rsidRPr="00AF5AB1">
        <w:rPr>
          <w:rStyle w:val="FontStyle11"/>
          <w:sz w:val="24"/>
          <w:szCs w:val="24"/>
        </w:rPr>
        <w:t>.</w:t>
      </w:r>
      <w:r w:rsidR="00003076" w:rsidRPr="00AF5AB1">
        <w:rPr>
          <w:rStyle w:val="FontStyle11"/>
          <w:sz w:val="24"/>
          <w:szCs w:val="24"/>
        </w:rPr>
        <w:t>4.</w:t>
      </w:r>
      <w:r w:rsidRPr="00AF5AB1">
        <w:rPr>
          <w:rStyle w:val="FontStyle11"/>
          <w:sz w:val="24"/>
          <w:szCs w:val="24"/>
        </w:rPr>
        <w:t xml:space="preserve"> </w:t>
      </w:r>
      <w:r w:rsidR="00842AC4" w:rsidRPr="00AF5AB1">
        <w:rPr>
          <w:rStyle w:val="FontStyle11"/>
          <w:sz w:val="24"/>
          <w:szCs w:val="24"/>
        </w:rPr>
        <w:t>Функциональные категории</w:t>
      </w:r>
    </w:p>
    <w:p w:rsidR="00775BFC" w:rsidRPr="00775BFC" w:rsidRDefault="00775BFC" w:rsidP="00AF5AB1">
      <w:pPr>
        <w:pStyle w:val="Style2"/>
        <w:widowControl/>
        <w:tabs>
          <w:tab w:val="left" w:pos="1411"/>
        </w:tabs>
        <w:ind w:firstLine="709"/>
        <w:jc w:val="both"/>
        <w:rPr>
          <w:rStyle w:val="FontStyle11"/>
          <w:sz w:val="16"/>
          <w:szCs w:val="16"/>
        </w:rPr>
      </w:pPr>
    </w:p>
    <w:p w:rsidR="004904D6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  <w:i/>
        </w:rPr>
      </w:pPr>
      <w:r w:rsidRPr="00AF5AB1">
        <w:rPr>
          <w:rStyle w:val="FontStyle12"/>
          <w:i/>
        </w:rPr>
        <w:t>в торговом балансе</w:t>
      </w:r>
      <w:r w:rsidR="00775BFC">
        <w:rPr>
          <w:rStyle w:val="FontStyle12"/>
          <w:i/>
        </w:rPr>
        <w:t>:</w:t>
      </w:r>
    </w:p>
    <w:p w:rsidR="004904D6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- исключены товары, учитываемые в рамках таможенных режимов переработки товаров (в частности, </w:t>
      </w:r>
      <w:proofErr w:type="spellStart"/>
      <w:r w:rsidRPr="00AF5AB1">
        <w:rPr>
          <w:rStyle w:val="FontStyle12"/>
        </w:rPr>
        <w:t>толлинг</w:t>
      </w:r>
      <w:proofErr w:type="spellEnd"/>
      <w:r w:rsidRPr="00AF5AB1">
        <w:rPr>
          <w:rStyle w:val="FontStyle12"/>
        </w:rPr>
        <w:t xml:space="preserve">); </w:t>
      </w:r>
    </w:p>
    <w:p w:rsidR="00E13217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- добавлен чистый экспорт товаров в рамках перепродажи товаров за границей; </w:t>
      </w:r>
    </w:p>
    <w:p w:rsidR="00E13217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  <w:i/>
        </w:rPr>
      </w:pPr>
      <w:r w:rsidRPr="00AF5AB1">
        <w:rPr>
          <w:rStyle w:val="FontStyle12"/>
          <w:i/>
        </w:rPr>
        <w:t>в балансе услуг</w:t>
      </w:r>
      <w:r w:rsidR="00775BFC">
        <w:rPr>
          <w:rStyle w:val="FontStyle12"/>
          <w:i/>
        </w:rPr>
        <w:t>:</w:t>
      </w:r>
      <w:r w:rsidRPr="00AF5AB1">
        <w:rPr>
          <w:rStyle w:val="FontStyle12"/>
          <w:i/>
        </w:rPr>
        <w:t xml:space="preserve"> </w:t>
      </w:r>
    </w:p>
    <w:p w:rsidR="00E13217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- включены услуги по переработке товаров и услуги по финансовому посредничеству, измеряемые косвенным образом(FISIM);</w:t>
      </w:r>
    </w:p>
    <w:p w:rsidR="00E13217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  <w:i/>
        </w:rPr>
      </w:pPr>
      <w:r w:rsidRPr="00AF5AB1">
        <w:rPr>
          <w:rStyle w:val="FontStyle12"/>
          <w:i/>
        </w:rPr>
        <w:t xml:space="preserve">баланс доходов расширен за счет ренты; </w:t>
      </w:r>
    </w:p>
    <w:p w:rsidR="004904D6" w:rsidRPr="00AF5AB1" w:rsidRDefault="004904D6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разделы </w:t>
      </w:r>
      <w:r w:rsidRPr="00AF5AB1">
        <w:rPr>
          <w:rStyle w:val="FontStyle12"/>
          <w:i/>
        </w:rPr>
        <w:t>баланс доходов и баланс текущих трансфертов</w:t>
      </w:r>
      <w:r w:rsidRPr="00AF5AB1">
        <w:rPr>
          <w:rStyle w:val="FontStyle12"/>
        </w:rPr>
        <w:t xml:space="preserve"> переименованы в счета </w:t>
      </w:r>
      <w:r w:rsidRPr="00AF5AB1">
        <w:rPr>
          <w:rStyle w:val="FontStyle12"/>
          <w:i/>
        </w:rPr>
        <w:t>первичных и вторичных доходов</w:t>
      </w:r>
      <w:r w:rsidRPr="00AF5AB1">
        <w:rPr>
          <w:rStyle w:val="FontStyle12"/>
        </w:rPr>
        <w:t xml:space="preserve"> соответственно.</w:t>
      </w:r>
    </w:p>
    <w:p w:rsidR="004904D6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из счета </w:t>
      </w:r>
      <w:r w:rsidRPr="00AF5AB1">
        <w:rPr>
          <w:rStyle w:val="FontStyle12"/>
          <w:i/>
        </w:rPr>
        <w:t>операций с капиталом</w:t>
      </w:r>
      <w:r w:rsidRPr="00AF5AB1">
        <w:rPr>
          <w:rStyle w:val="FontStyle12"/>
        </w:rPr>
        <w:t xml:space="preserve"> исключены трансферты мигрантов; </w:t>
      </w:r>
    </w:p>
    <w:p w:rsidR="0057236C" w:rsidRPr="00AF5AB1" w:rsidRDefault="00E13217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  <w:i/>
        </w:rPr>
        <w:t>в финансовом счете</w:t>
      </w:r>
      <w:r w:rsidRPr="00AF5AB1">
        <w:rPr>
          <w:rStyle w:val="FontStyle12"/>
        </w:rPr>
        <w:t xml:space="preserve"> операции прочих секторов разбиты на операции прочих финансовых организаций и нефинансовых предприятий, домашних хозяйств и некоммерческих организаций, обслуживающих домашние хозяйства. </w:t>
      </w:r>
    </w:p>
    <w:p w:rsidR="00FC662A" w:rsidRPr="00775BFC" w:rsidRDefault="00FC662A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  <w:sz w:val="16"/>
          <w:szCs w:val="16"/>
        </w:rPr>
      </w:pPr>
    </w:p>
    <w:p w:rsidR="00E13217" w:rsidRDefault="001C5DCE" w:rsidP="00AF5AB1">
      <w:pPr>
        <w:pStyle w:val="Style3"/>
        <w:widowControl/>
        <w:numPr>
          <w:ilvl w:val="0"/>
          <w:numId w:val="15"/>
        </w:numPr>
        <w:tabs>
          <w:tab w:val="left" w:pos="1075"/>
        </w:tabs>
        <w:spacing w:line="240" w:lineRule="auto"/>
        <w:ind w:left="0" w:firstLine="709"/>
        <w:rPr>
          <w:rStyle w:val="FontStyle12"/>
          <w:b/>
        </w:rPr>
      </w:pPr>
      <w:r w:rsidRPr="00AF5AB1">
        <w:rPr>
          <w:rStyle w:val="FontStyle12"/>
          <w:b/>
        </w:rPr>
        <w:t xml:space="preserve">Практика </w:t>
      </w:r>
      <w:r w:rsidR="00E13217" w:rsidRPr="00AF5AB1">
        <w:rPr>
          <w:rStyle w:val="FontStyle12"/>
          <w:b/>
        </w:rPr>
        <w:t>перехода на РПБ6</w:t>
      </w:r>
      <w:r w:rsidRPr="00AF5AB1">
        <w:rPr>
          <w:rStyle w:val="FontStyle12"/>
          <w:b/>
        </w:rPr>
        <w:t xml:space="preserve"> в Российской Федерации</w:t>
      </w:r>
    </w:p>
    <w:p w:rsidR="00AF5AB1" w:rsidRPr="00775BFC" w:rsidRDefault="00AF5AB1" w:rsidP="00AF5AB1">
      <w:pPr>
        <w:pStyle w:val="Style3"/>
        <w:widowControl/>
        <w:tabs>
          <w:tab w:val="left" w:pos="1075"/>
        </w:tabs>
        <w:spacing w:line="240" w:lineRule="auto"/>
        <w:ind w:left="709" w:firstLine="0"/>
        <w:rPr>
          <w:rStyle w:val="FontStyle12"/>
          <w:b/>
          <w:sz w:val="16"/>
          <w:szCs w:val="16"/>
        </w:rPr>
      </w:pPr>
    </w:p>
    <w:p w:rsidR="00E13217" w:rsidRPr="00AF5AB1" w:rsidRDefault="00E13217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Банком России проведена обширная </w:t>
      </w:r>
      <w:r w:rsidR="00B44054" w:rsidRPr="00AF5AB1">
        <w:rPr>
          <w:rStyle w:val="FontStyle12"/>
        </w:rPr>
        <w:t xml:space="preserve">работа по переходу на РПБ6, включая изменение методических принципов и подходов к разработке статистики внешнего сектора, а также – к пересчету рядов </w:t>
      </w:r>
      <w:r w:rsidR="00E3346D" w:rsidRPr="00AF5AB1">
        <w:rPr>
          <w:rStyle w:val="FontStyle12"/>
        </w:rPr>
        <w:t>динамики</w:t>
      </w:r>
      <w:r w:rsidR="00B44054" w:rsidRPr="00AF5AB1">
        <w:rPr>
          <w:rStyle w:val="FontStyle12"/>
        </w:rPr>
        <w:t xml:space="preserve">. </w:t>
      </w:r>
    </w:p>
    <w:p w:rsidR="00B44054" w:rsidRPr="00AF5AB1" w:rsidRDefault="00B44054" w:rsidP="00AF5AB1">
      <w:pPr>
        <w:pStyle w:val="Style3"/>
        <w:widowControl/>
        <w:tabs>
          <w:tab w:val="left" w:pos="1075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С 2013 года Банк России приступил к последовательному изменению своих публикаций в соответствии с новыми стандартами</w:t>
      </w:r>
      <w:r w:rsidR="00E3346D" w:rsidRPr="00AF5AB1">
        <w:rPr>
          <w:rStyle w:val="FontStyle12"/>
        </w:rPr>
        <w:t xml:space="preserve"> РПБ6</w:t>
      </w:r>
      <w:r w:rsidRPr="00AF5AB1">
        <w:rPr>
          <w:rStyle w:val="FontStyle12"/>
        </w:rPr>
        <w:t xml:space="preserve">. </w:t>
      </w:r>
      <w:r w:rsidR="002A33FF" w:rsidRPr="00AF5AB1">
        <w:rPr>
          <w:rStyle w:val="FontStyle12"/>
        </w:rPr>
        <w:t>Все ряды динамики были пересмотрены вплоть до 1994 года.</w:t>
      </w:r>
    </w:p>
    <w:p w:rsidR="00E3346D" w:rsidRPr="00AF5AB1" w:rsidRDefault="00E3346D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С 2014 года Банк России в соответствии с методологическими принципами РПБ6 изменил формат публикации данных о накопленных остатках и движении наличной иностранной валюты в собственности у резидентов в платежном балансе и международной инвестиционной позиции Российской Федерации.</w:t>
      </w:r>
    </w:p>
    <w:p w:rsidR="00B44054" w:rsidRPr="00AF5AB1" w:rsidRDefault="00B44054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С 2015 года в рамках мероприятий по внедрению стандартов составления и публикации платежного баланса Российской Федерации на основе РПБ6</w:t>
      </w:r>
      <w:r w:rsidR="00E3346D" w:rsidRPr="00AF5AB1">
        <w:rPr>
          <w:rStyle w:val="FontStyle12"/>
        </w:rPr>
        <w:t xml:space="preserve"> </w:t>
      </w:r>
      <w:r w:rsidRPr="00AF5AB1">
        <w:rPr>
          <w:rStyle w:val="FontStyle12"/>
        </w:rPr>
        <w:t>Банк России приступил к публикации данных с использованием нового формата знаков, отражающих изменение отдельных статей и агрегатов текущего счета, счета операций с капиталом и финансового счета.</w:t>
      </w:r>
    </w:p>
    <w:p w:rsidR="00E3346D" w:rsidRPr="00AF5AB1" w:rsidRDefault="00E3346D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В течение 2012-2016 гг. введен целый ряд новых презентаций платежного баланса и международной инвестиционной позиции. Планируется дальнейшее расширение </w:t>
      </w:r>
      <w:proofErr w:type="spellStart"/>
      <w:r w:rsidRPr="00AF5AB1">
        <w:rPr>
          <w:rStyle w:val="FontStyle12"/>
        </w:rPr>
        <w:t>разрезностей</w:t>
      </w:r>
      <w:proofErr w:type="spellEnd"/>
      <w:r w:rsidRPr="00AF5AB1">
        <w:rPr>
          <w:rStyle w:val="FontStyle12"/>
        </w:rPr>
        <w:t xml:space="preserve"> и детализации публикуемой статистики внешнего сектора в рамках формата РПБ6.</w:t>
      </w:r>
    </w:p>
    <w:p w:rsidR="001C5DCE" w:rsidRPr="00AF5AB1" w:rsidRDefault="001C5DCE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 xml:space="preserve">На официальном сайте Банка России представлены статистические данные, разработанные </w:t>
      </w:r>
      <w:r w:rsidR="00E3346D" w:rsidRPr="00AF5AB1">
        <w:rPr>
          <w:rStyle w:val="FontStyle12"/>
        </w:rPr>
        <w:t xml:space="preserve">как </w:t>
      </w:r>
      <w:r w:rsidRPr="00AF5AB1">
        <w:rPr>
          <w:rStyle w:val="FontStyle12"/>
        </w:rPr>
        <w:t>по РПБ5</w:t>
      </w:r>
      <w:r w:rsidR="00E3346D" w:rsidRPr="00AF5AB1">
        <w:rPr>
          <w:rStyle w:val="FontStyle12"/>
        </w:rPr>
        <w:t xml:space="preserve">, так и по </w:t>
      </w:r>
      <w:r w:rsidRPr="00AF5AB1">
        <w:rPr>
          <w:rStyle w:val="FontStyle12"/>
        </w:rPr>
        <w:t>РПБ6</w:t>
      </w:r>
    </w:p>
    <w:p w:rsidR="001C5DCE" w:rsidRDefault="001C5DCE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  <w:r w:rsidRPr="00AF5AB1">
        <w:rPr>
          <w:rStyle w:val="FontStyle12"/>
        </w:rPr>
        <w:t>В целом статистические расхождения между показателями невелики и касаются в основном статей текущего счета платежного баланса.</w:t>
      </w:r>
    </w:p>
    <w:p w:rsidR="00775BFC" w:rsidRPr="00AF5AB1" w:rsidRDefault="00775BFC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</w:rPr>
      </w:pPr>
    </w:p>
    <w:p w:rsidR="001C5DCE" w:rsidRDefault="002A33FF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  <w:b/>
        </w:rPr>
      </w:pPr>
      <w:r w:rsidRPr="00AF5AB1">
        <w:rPr>
          <w:rStyle w:val="FontStyle12"/>
          <w:b/>
          <w:lang w:val="en-US"/>
        </w:rPr>
        <w:t>VI</w:t>
      </w:r>
      <w:r w:rsidRPr="00AF5AB1">
        <w:rPr>
          <w:rStyle w:val="FontStyle12"/>
          <w:b/>
        </w:rPr>
        <w:t xml:space="preserve">. </w:t>
      </w:r>
      <w:r w:rsidR="001C5DCE" w:rsidRPr="00AF5AB1">
        <w:rPr>
          <w:rStyle w:val="FontStyle12"/>
          <w:b/>
        </w:rPr>
        <w:t>Итоги перехода на РПБ6 в Российской Федерации</w:t>
      </w:r>
      <w:r w:rsidR="002F763D" w:rsidRPr="00AF5AB1">
        <w:rPr>
          <w:rStyle w:val="FontStyle12"/>
          <w:b/>
        </w:rPr>
        <w:t>.</w:t>
      </w:r>
    </w:p>
    <w:p w:rsidR="00775BFC" w:rsidRPr="00775BFC" w:rsidRDefault="00775BFC" w:rsidP="00AF5AB1">
      <w:pPr>
        <w:pStyle w:val="Style3"/>
        <w:widowControl/>
        <w:tabs>
          <w:tab w:val="left" w:pos="1070"/>
        </w:tabs>
        <w:spacing w:line="240" w:lineRule="auto"/>
        <w:ind w:firstLine="709"/>
        <w:rPr>
          <w:rStyle w:val="FontStyle12"/>
          <w:b/>
          <w:sz w:val="16"/>
          <w:szCs w:val="16"/>
        </w:rPr>
      </w:pPr>
    </w:p>
    <w:p w:rsidR="001C5DCE" w:rsidRPr="00AF5AB1" w:rsidRDefault="001C5DCE" w:rsidP="00AF5AB1">
      <w:pPr>
        <w:pStyle w:val="Style3"/>
        <w:widowControl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Style w:val="FontStyle12"/>
        </w:rPr>
      </w:pPr>
      <w:r w:rsidRPr="00AF5AB1">
        <w:rPr>
          <w:rStyle w:val="FontStyle12"/>
        </w:rPr>
        <w:t>Соответствие подходов к разработке статистики внешнего сектора в Российской Федерации международным стандартам</w:t>
      </w:r>
      <w:r w:rsidR="00994171" w:rsidRPr="00AF5AB1">
        <w:rPr>
          <w:rStyle w:val="FontStyle12"/>
        </w:rPr>
        <w:t>. Российская Федерация наиболее полно реализовала принципы РПБ6 среди развивающихся стран.</w:t>
      </w:r>
    </w:p>
    <w:p w:rsidR="00994171" w:rsidRPr="00AF5AB1" w:rsidRDefault="00994171" w:rsidP="00AF5AB1">
      <w:pPr>
        <w:pStyle w:val="Style3"/>
        <w:widowControl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Style w:val="FontStyle12"/>
        </w:rPr>
      </w:pPr>
      <w:r w:rsidRPr="00AF5AB1">
        <w:rPr>
          <w:rStyle w:val="FontStyle12"/>
        </w:rPr>
        <w:t>Более тесная гармонизация и интеграция с СНС Российской Федерации, разрабатываемой Росстатом</w:t>
      </w:r>
      <w:r w:rsidR="002A33FF" w:rsidRPr="00AF5AB1">
        <w:rPr>
          <w:rStyle w:val="FontStyle12"/>
        </w:rPr>
        <w:t>.</w:t>
      </w:r>
    </w:p>
    <w:p w:rsidR="00FC662A" w:rsidRPr="00AF5AB1" w:rsidRDefault="00FC662A" w:rsidP="00AF5AB1">
      <w:pPr>
        <w:pStyle w:val="Style3"/>
        <w:widowControl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Style w:val="FontStyle12"/>
        </w:rPr>
      </w:pPr>
      <w:r w:rsidRPr="00AF5AB1">
        <w:rPr>
          <w:rStyle w:val="FontStyle12"/>
        </w:rPr>
        <w:t xml:space="preserve">Адекватное отражение в статистике внешнего сектора </w:t>
      </w:r>
      <w:r w:rsidR="007C5967" w:rsidRPr="00AF5AB1">
        <w:rPr>
          <w:rStyle w:val="FontStyle12"/>
        </w:rPr>
        <w:t>новых экономических явлений и новых финансовых инструментов.</w:t>
      </w:r>
    </w:p>
    <w:p w:rsidR="002A33FF" w:rsidRPr="00AF5AB1" w:rsidRDefault="002A33FF" w:rsidP="00AF5AB1">
      <w:pPr>
        <w:pStyle w:val="Style3"/>
        <w:widowControl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Style w:val="FontStyle12"/>
        </w:rPr>
      </w:pPr>
      <w:r w:rsidRPr="00AF5AB1">
        <w:rPr>
          <w:rStyle w:val="FontStyle12"/>
        </w:rPr>
        <w:t>Дополнительные возможности для осуществления международных сопоставлений на основе формата РПБ6.</w:t>
      </w:r>
    </w:p>
    <w:p w:rsidR="002A33FF" w:rsidRPr="00AF5AB1" w:rsidRDefault="002F763D" w:rsidP="00AF5AB1">
      <w:pPr>
        <w:pStyle w:val="Style3"/>
        <w:widowControl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Style w:val="FontStyle12"/>
        </w:rPr>
      </w:pPr>
      <w:r w:rsidRPr="00AF5AB1">
        <w:rPr>
          <w:rStyle w:val="FontStyle12"/>
        </w:rPr>
        <w:t>Дополнительны</w:t>
      </w:r>
      <w:r w:rsidR="00FC662A" w:rsidRPr="00AF5AB1">
        <w:rPr>
          <w:rStyle w:val="FontStyle12"/>
        </w:rPr>
        <w:t>й</w:t>
      </w:r>
      <w:r w:rsidRPr="00AF5AB1">
        <w:rPr>
          <w:rStyle w:val="FontStyle12"/>
        </w:rPr>
        <w:t xml:space="preserve"> аналитически</w:t>
      </w:r>
      <w:r w:rsidR="00FC662A" w:rsidRPr="00AF5AB1">
        <w:rPr>
          <w:rStyle w:val="FontStyle12"/>
        </w:rPr>
        <w:t>й</w:t>
      </w:r>
      <w:r w:rsidRPr="00AF5AB1">
        <w:rPr>
          <w:rStyle w:val="FontStyle12"/>
        </w:rPr>
        <w:t xml:space="preserve"> </w:t>
      </w:r>
      <w:r w:rsidR="00FC662A" w:rsidRPr="00AF5AB1">
        <w:rPr>
          <w:rStyle w:val="FontStyle12"/>
        </w:rPr>
        <w:t>аппарат</w:t>
      </w:r>
      <w:r w:rsidRPr="00AF5AB1">
        <w:rPr>
          <w:rStyle w:val="FontStyle12"/>
        </w:rPr>
        <w:t xml:space="preserve"> в связи с расширением глубины представления данных в РПБ6.</w:t>
      </w:r>
    </w:p>
    <w:p w:rsidR="00FC662A" w:rsidRPr="00AF5AB1" w:rsidRDefault="00FC662A" w:rsidP="00AF5AB1">
      <w:pPr>
        <w:pStyle w:val="Style3"/>
        <w:widowControl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Style w:val="FontStyle12"/>
        </w:rPr>
      </w:pPr>
      <w:r w:rsidRPr="00AF5AB1">
        <w:rPr>
          <w:rStyle w:val="FontStyle12"/>
        </w:rPr>
        <w:t>Более «справедливая» оценка располагаемых резидентами Российской Федерации иностранных активов и обязательств.</w:t>
      </w:r>
    </w:p>
    <w:p w:rsidR="00B44054" w:rsidRPr="00AF5AB1" w:rsidRDefault="00FC662A" w:rsidP="00AF5AB1">
      <w:pPr>
        <w:pStyle w:val="Style3"/>
        <w:widowControl/>
        <w:numPr>
          <w:ilvl w:val="0"/>
          <w:numId w:val="12"/>
        </w:numPr>
        <w:tabs>
          <w:tab w:val="left" w:pos="0"/>
        </w:tabs>
        <w:spacing w:line="240" w:lineRule="auto"/>
        <w:ind w:left="0" w:firstLine="709"/>
        <w:rPr>
          <w:rStyle w:val="FontStyle12"/>
        </w:rPr>
      </w:pPr>
      <w:r w:rsidRPr="00AF5AB1">
        <w:rPr>
          <w:rStyle w:val="FontStyle12"/>
        </w:rPr>
        <w:t xml:space="preserve">Дополнительный импульс </w:t>
      </w:r>
      <w:r w:rsidR="002F763D" w:rsidRPr="00AF5AB1">
        <w:rPr>
          <w:rStyle w:val="FontStyle12"/>
        </w:rPr>
        <w:t xml:space="preserve">развития статистической деятельности </w:t>
      </w:r>
      <w:r w:rsidRPr="00AF5AB1">
        <w:rPr>
          <w:rStyle w:val="FontStyle12"/>
        </w:rPr>
        <w:t xml:space="preserve">и методологии </w:t>
      </w:r>
      <w:r w:rsidR="002F763D" w:rsidRPr="00AF5AB1">
        <w:rPr>
          <w:rStyle w:val="FontStyle12"/>
        </w:rPr>
        <w:t>в рамках работы международных финансовых организаций.</w:t>
      </w:r>
    </w:p>
    <w:sectPr w:rsidR="00B44054" w:rsidRPr="00AF5AB1" w:rsidSect="004914B0">
      <w:headerReference w:type="default" r:id="rId9"/>
      <w:type w:val="continuous"/>
      <w:pgSz w:w="11905" w:h="16837"/>
      <w:pgMar w:top="755" w:right="1128" w:bottom="1440" w:left="112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870" w:rsidRDefault="00355870">
      <w:r>
        <w:separator/>
      </w:r>
    </w:p>
  </w:endnote>
  <w:endnote w:type="continuationSeparator" w:id="0">
    <w:p w:rsidR="00355870" w:rsidRDefault="0035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870" w:rsidRDefault="00355870">
      <w:r>
        <w:separator/>
      </w:r>
    </w:p>
  </w:footnote>
  <w:footnote w:type="continuationSeparator" w:id="0">
    <w:p w:rsidR="00355870" w:rsidRDefault="00355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9593810"/>
      <w:docPartObj>
        <w:docPartGallery w:val="Page Numbers (Top of Page)"/>
        <w:docPartUnique/>
      </w:docPartObj>
    </w:sdtPr>
    <w:sdtContent>
      <w:p w:rsidR="004914B0" w:rsidRDefault="004914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518">
          <w:rPr>
            <w:noProof/>
          </w:rPr>
          <w:t>2</w:t>
        </w:r>
        <w:r>
          <w:fldChar w:fldCharType="end"/>
        </w:r>
      </w:p>
    </w:sdtContent>
  </w:sdt>
  <w:p w:rsidR="004914B0" w:rsidRDefault="004914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202C4C"/>
    <w:lvl w:ilvl="0">
      <w:numFmt w:val="bullet"/>
      <w:lvlText w:val="*"/>
      <w:lvlJc w:val="left"/>
    </w:lvl>
  </w:abstractNum>
  <w:abstractNum w:abstractNumId="1">
    <w:nsid w:val="1B205E73"/>
    <w:multiLevelType w:val="singleLevel"/>
    <w:tmpl w:val="357648C0"/>
    <w:lvl w:ilvl="0">
      <w:start w:val="6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286A12CA"/>
    <w:multiLevelType w:val="singleLevel"/>
    <w:tmpl w:val="F858F0A6"/>
    <w:lvl w:ilvl="0">
      <w:start w:val="7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2B7142E5"/>
    <w:multiLevelType w:val="singleLevel"/>
    <w:tmpl w:val="08B421F0"/>
    <w:lvl w:ilvl="0">
      <w:start w:val="4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450A4441"/>
    <w:multiLevelType w:val="multilevel"/>
    <w:tmpl w:val="42CAA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60BD0565"/>
    <w:multiLevelType w:val="multilevel"/>
    <w:tmpl w:val="589A79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1914869"/>
    <w:multiLevelType w:val="hybridMultilevel"/>
    <w:tmpl w:val="AB1A8CD4"/>
    <w:lvl w:ilvl="0" w:tplc="384C4B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D1E4A"/>
    <w:multiLevelType w:val="hybridMultilevel"/>
    <w:tmpl w:val="0E88BDE4"/>
    <w:lvl w:ilvl="0" w:tplc="7230F4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645D69"/>
    <w:multiLevelType w:val="hybridMultilevel"/>
    <w:tmpl w:val="52AAC954"/>
    <w:lvl w:ilvl="0" w:tplc="114CDF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CB35B4A"/>
    <w:multiLevelType w:val="singleLevel"/>
    <w:tmpl w:val="90406BB2"/>
    <w:lvl w:ilvl="0">
      <w:start w:val="2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7C1450D3"/>
    <w:multiLevelType w:val="singleLevel"/>
    <w:tmpl w:val="DBF85E68"/>
    <w:lvl w:ilvl="0">
      <w:start w:val="3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2"/>
    <w:lvlOverride w:ilvl="0">
      <w:lvl w:ilvl="0">
        <w:start w:val="8"/>
        <w:numFmt w:val="decimal"/>
        <w:lvlText w:val="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  <w:lvlOverride w:ilvl="0">
      <w:lvl w:ilvl="0">
        <w:start w:val="9"/>
        <w:numFmt w:val="decimal"/>
        <w:lvlText w:val="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C4"/>
    <w:rsid w:val="00003076"/>
    <w:rsid w:val="00034DE3"/>
    <w:rsid w:val="00150517"/>
    <w:rsid w:val="001C5DCE"/>
    <w:rsid w:val="002A33FF"/>
    <w:rsid w:val="002F763D"/>
    <w:rsid w:val="00355870"/>
    <w:rsid w:val="003D238D"/>
    <w:rsid w:val="003D6E48"/>
    <w:rsid w:val="004904D6"/>
    <w:rsid w:val="004914B0"/>
    <w:rsid w:val="004E6518"/>
    <w:rsid w:val="0057236C"/>
    <w:rsid w:val="00775BFC"/>
    <w:rsid w:val="007C5967"/>
    <w:rsid w:val="00842AC4"/>
    <w:rsid w:val="00994171"/>
    <w:rsid w:val="00AE54E4"/>
    <w:rsid w:val="00AF5AB1"/>
    <w:rsid w:val="00B44054"/>
    <w:rsid w:val="00B70DF2"/>
    <w:rsid w:val="00D64EFE"/>
    <w:rsid w:val="00E13217"/>
    <w:rsid w:val="00E3346D"/>
    <w:rsid w:val="00EF0ABF"/>
    <w:rsid w:val="00F221CB"/>
    <w:rsid w:val="00FC662A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8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E54E4"/>
    <w:pPr>
      <w:keepNext/>
      <w:widowControl/>
      <w:autoSpaceDE/>
      <w:autoSpaceDN/>
      <w:adjustRightInd/>
      <w:ind w:firstLine="709"/>
      <w:jc w:val="both"/>
      <w:outlineLvl w:val="0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D238D"/>
    <w:pPr>
      <w:spacing w:line="323" w:lineRule="exact"/>
      <w:jc w:val="center"/>
    </w:pPr>
  </w:style>
  <w:style w:type="paragraph" w:customStyle="1" w:styleId="Style2">
    <w:name w:val="Style2"/>
    <w:basedOn w:val="a"/>
    <w:uiPriority w:val="99"/>
    <w:rsid w:val="003D238D"/>
  </w:style>
  <w:style w:type="paragraph" w:customStyle="1" w:styleId="Style3">
    <w:name w:val="Style3"/>
    <w:basedOn w:val="a"/>
    <w:uiPriority w:val="99"/>
    <w:rsid w:val="003D238D"/>
    <w:pPr>
      <w:spacing w:line="323" w:lineRule="exact"/>
      <w:ind w:firstLine="710"/>
      <w:jc w:val="both"/>
    </w:pPr>
  </w:style>
  <w:style w:type="character" w:customStyle="1" w:styleId="FontStyle11">
    <w:name w:val="Font Style11"/>
    <w:basedOn w:val="a0"/>
    <w:uiPriority w:val="99"/>
    <w:rsid w:val="003D238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D238D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3D238D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AE54E4"/>
    <w:rPr>
      <w:rFonts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AE54E4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AE54E4"/>
    <w:rPr>
      <w:rFonts w:eastAsia="Times New Roman" w:hAnsi="Times New Roman" w:cs="Times New Roman"/>
      <w:sz w:val="24"/>
      <w:szCs w:val="24"/>
    </w:rPr>
  </w:style>
  <w:style w:type="paragraph" w:customStyle="1" w:styleId="pr">
    <w:name w:val="pr"/>
    <w:basedOn w:val="a"/>
    <w:rsid w:val="00AE54E4"/>
    <w:pPr>
      <w:widowControl/>
      <w:autoSpaceDE/>
      <w:autoSpaceDN/>
      <w:adjustRightInd/>
      <w:spacing w:before="100" w:beforeAutospacing="1" w:after="100" w:afterAutospacing="1"/>
      <w:ind w:firstLine="180"/>
      <w:jc w:val="both"/>
    </w:pPr>
    <w:rPr>
      <w:rFonts w:eastAsia="Times New Roman"/>
      <w:color w:val="001F4B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33FF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33FF"/>
    <w:rPr>
      <w:rFonts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914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8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E54E4"/>
    <w:pPr>
      <w:keepNext/>
      <w:widowControl/>
      <w:autoSpaceDE/>
      <w:autoSpaceDN/>
      <w:adjustRightInd/>
      <w:ind w:firstLine="709"/>
      <w:jc w:val="both"/>
      <w:outlineLvl w:val="0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D238D"/>
    <w:pPr>
      <w:spacing w:line="323" w:lineRule="exact"/>
      <w:jc w:val="center"/>
    </w:pPr>
  </w:style>
  <w:style w:type="paragraph" w:customStyle="1" w:styleId="Style2">
    <w:name w:val="Style2"/>
    <w:basedOn w:val="a"/>
    <w:uiPriority w:val="99"/>
    <w:rsid w:val="003D238D"/>
  </w:style>
  <w:style w:type="paragraph" w:customStyle="1" w:styleId="Style3">
    <w:name w:val="Style3"/>
    <w:basedOn w:val="a"/>
    <w:uiPriority w:val="99"/>
    <w:rsid w:val="003D238D"/>
    <w:pPr>
      <w:spacing w:line="323" w:lineRule="exact"/>
      <w:ind w:firstLine="710"/>
      <w:jc w:val="both"/>
    </w:pPr>
  </w:style>
  <w:style w:type="character" w:customStyle="1" w:styleId="FontStyle11">
    <w:name w:val="Font Style11"/>
    <w:basedOn w:val="a0"/>
    <w:uiPriority w:val="99"/>
    <w:rsid w:val="003D238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D238D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3D238D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AE54E4"/>
    <w:rPr>
      <w:rFonts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AE54E4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AE54E4"/>
    <w:rPr>
      <w:rFonts w:eastAsia="Times New Roman" w:hAnsi="Times New Roman" w:cs="Times New Roman"/>
      <w:sz w:val="24"/>
      <w:szCs w:val="24"/>
    </w:rPr>
  </w:style>
  <w:style w:type="paragraph" w:customStyle="1" w:styleId="pr">
    <w:name w:val="pr"/>
    <w:basedOn w:val="a"/>
    <w:rsid w:val="00AE54E4"/>
    <w:pPr>
      <w:widowControl/>
      <w:autoSpaceDE/>
      <w:autoSpaceDN/>
      <w:adjustRightInd/>
      <w:spacing w:before="100" w:beforeAutospacing="1" w:after="100" w:afterAutospacing="1"/>
      <w:ind w:firstLine="180"/>
      <w:jc w:val="both"/>
    </w:pPr>
    <w:rPr>
      <w:rFonts w:eastAsia="Times New Roman"/>
      <w:color w:val="001F4B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33FF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33FF"/>
    <w:rPr>
      <w:rFonts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914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0A1F-7DAD-49CB-8306-B27EBF94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Емельянова Ольга Юрьевна</cp:lastModifiedBy>
  <cp:revision>6</cp:revision>
  <cp:lastPrinted>2017-03-17T11:59:00Z</cp:lastPrinted>
  <dcterms:created xsi:type="dcterms:W3CDTF">2017-03-17T11:50:00Z</dcterms:created>
  <dcterms:modified xsi:type="dcterms:W3CDTF">2017-03-17T12:04:00Z</dcterms:modified>
</cp:coreProperties>
</file>