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8D" w:rsidRDefault="002F4B8C" w:rsidP="00157C8D">
      <w:pPr>
        <w:spacing w:after="0" w:line="240" w:lineRule="auto"/>
        <w:ind w:firstLine="709"/>
        <w:jc w:val="right"/>
        <w:rPr>
          <w:b/>
          <w:i/>
        </w:rPr>
      </w:pPr>
      <w:r>
        <w:rPr>
          <w:b/>
          <w:i/>
        </w:rPr>
        <w:t xml:space="preserve">Елена Сергеевна </w:t>
      </w:r>
      <w:proofErr w:type="spellStart"/>
      <w:r w:rsidR="00157C8D">
        <w:rPr>
          <w:b/>
          <w:i/>
        </w:rPr>
        <w:t>Заварина</w:t>
      </w:r>
      <w:proofErr w:type="spellEnd"/>
    </w:p>
    <w:p w:rsidR="00157C8D" w:rsidRDefault="00157C8D" w:rsidP="00157C8D">
      <w:pPr>
        <w:spacing w:after="0" w:line="240" w:lineRule="auto"/>
        <w:ind w:firstLine="709"/>
        <w:jc w:val="right"/>
        <w:rPr>
          <w:b/>
          <w:i/>
        </w:rPr>
      </w:pPr>
      <w:r>
        <w:rPr>
          <w:b/>
          <w:i/>
        </w:rPr>
        <w:t>к.э.н., доцент</w:t>
      </w:r>
    </w:p>
    <w:p w:rsidR="00157C8D" w:rsidRDefault="00157C8D" w:rsidP="00157C8D">
      <w:pPr>
        <w:pStyle w:val="3"/>
        <w:ind w:firstLine="0"/>
        <w:jc w:val="right"/>
        <w:rPr>
          <w:b/>
          <w:i/>
          <w:sz w:val="24"/>
          <w:szCs w:val="24"/>
        </w:rPr>
      </w:pPr>
      <w:r w:rsidRPr="0085683D">
        <w:rPr>
          <w:b/>
          <w:i/>
          <w:sz w:val="24"/>
          <w:szCs w:val="24"/>
        </w:rPr>
        <w:t>НИУ Высшая школа экономики</w:t>
      </w:r>
    </w:p>
    <w:p w:rsidR="00157C8D" w:rsidRDefault="00157C8D" w:rsidP="00157C8D">
      <w:pPr>
        <w:spacing w:after="0" w:line="240" w:lineRule="auto"/>
        <w:ind w:firstLine="709"/>
        <w:jc w:val="right"/>
        <w:rPr>
          <w:b/>
          <w:i/>
        </w:rPr>
      </w:pPr>
      <w:r>
        <w:rPr>
          <w:b/>
          <w:i/>
        </w:rPr>
        <w:t>г. Москва, Россия</w:t>
      </w:r>
    </w:p>
    <w:p w:rsidR="00157C8D" w:rsidRDefault="00157C8D" w:rsidP="00157C8D">
      <w:pPr>
        <w:spacing w:after="0" w:line="240" w:lineRule="auto"/>
        <w:ind w:firstLine="709"/>
        <w:jc w:val="right"/>
        <w:rPr>
          <w:b/>
          <w:i/>
        </w:rPr>
      </w:pPr>
    </w:p>
    <w:p w:rsidR="00157C8D" w:rsidRPr="00157C8D" w:rsidRDefault="00157C8D" w:rsidP="00157C8D">
      <w:pPr>
        <w:pStyle w:val="3"/>
        <w:spacing w:after="120"/>
        <w:ind w:firstLine="0"/>
        <w:jc w:val="center"/>
        <w:rPr>
          <w:b/>
          <w:sz w:val="22"/>
          <w:szCs w:val="22"/>
        </w:rPr>
      </w:pPr>
      <w:r w:rsidRPr="00157C8D">
        <w:rPr>
          <w:b/>
          <w:sz w:val="24"/>
          <w:szCs w:val="24"/>
        </w:rPr>
        <w:t xml:space="preserve">Методика определения и корректировки типологии регионов с помощью </w:t>
      </w:r>
      <w:r w:rsidRPr="00157C8D">
        <w:rPr>
          <w:b/>
          <w:sz w:val="22"/>
          <w:szCs w:val="22"/>
        </w:rPr>
        <w:t>динамических группировок</w:t>
      </w:r>
    </w:p>
    <w:p w:rsidR="00644B16" w:rsidRPr="00157C8D" w:rsidRDefault="00644B16" w:rsidP="00157C8D">
      <w:pPr>
        <w:pStyle w:val="3"/>
        <w:spacing w:after="120"/>
        <w:ind w:firstLine="709"/>
        <w:rPr>
          <w:sz w:val="22"/>
          <w:szCs w:val="22"/>
        </w:rPr>
      </w:pPr>
      <w:r w:rsidRPr="00157C8D">
        <w:rPr>
          <w:sz w:val="22"/>
          <w:szCs w:val="22"/>
        </w:rPr>
        <w:t>Под группировкой понимают расчленение единиц статистической совокупности на группы, однородные в каком-либо существенном отношении, и характеристику таких групп системой показателей в целях выделения типов явлений, изучения структуры и взаимосвязей. [6, с.5]</w:t>
      </w:r>
    </w:p>
    <w:p w:rsidR="00644B16" w:rsidRPr="00157C8D" w:rsidRDefault="00644B16" w:rsidP="00157C8D">
      <w:pPr>
        <w:pStyle w:val="3"/>
        <w:spacing w:after="120"/>
        <w:ind w:firstLine="709"/>
        <w:rPr>
          <w:sz w:val="22"/>
          <w:szCs w:val="22"/>
        </w:rPr>
      </w:pPr>
      <w:r w:rsidRPr="00157C8D">
        <w:rPr>
          <w:sz w:val="22"/>
          <w:szCs w:val="22"/>
        </w:rPr>
        <w:t>В зависимости от целей и решаемых задач группировки делятся на виды: типологические, структурные и аналитические. Разграничение этих трех вид и та же группировка может дать возможность решить все три задачи группировки: и выделение типов, и изучение структуры, и выявление взаимосвязей. Тем не менее, это разграничение позволяет упорядочить статистические исследования, правильно подобрать статистические показатели, характеризующие однородные, однотипные группы, создать услови</w:t>
      </w:r>
      <w:bookmarkStart w:id="0" w:name="_GoBack"/>
      <w:bookmarkEnd w:id="0"/>
      <w:r w:rsidRPr="00157C8D">
        <w:rPr>
          <w:sz w:val="22"/>
          <w:szCs w:val="22"/>
        </w:rPr>
        <w:t>я для применения других методов анализа: средних, относительных величин, индексного метода, анализа вариации, корреляционного анализа.</w:t>
      </w:r>
    </w:p>
    <w:p w:rsidR="00644B16" w:rsidRPr="00157C8D" w:rsidRDefault="00644B16" w:rsidP="00157C8D">
      <w:pPr>
        <w:pStyle w:val="3"/>
        <w:spacing w:after="120"/>
        <w:ind w:firstLine="709"/>
        <w:rPr>
          <w:sz w:val="22"/>
          <w:szCs w:val="22"/>
        </w:rPr>
      </w:pPr>
      <w:r w:rsidRPr="00157C8D">
        <w:rPr>
          <w:sz w:val="22"/>
          <w:szCs w:val="22"/>
        </w:rPr>
        <w:t>Важным инструментом разбиения совокупности на однородные группы является классификация - разновидность типологических группировок.</w:t>
      </w:r>
    </w:p>
    <w:p w:rsidR="00644B16" w:rsidRPr="00157C8D" w:rsidRDefault="00644B16" w:rsidP="00157C8D">
      <w:pPr>
        <w:pStyle w:val="3"/>
        <w:spacing w:after="120"/>
        <w:ind w:firstLine="709"/>
        <w:rPr>
          <w:sz w:val="22"/>
          <w:szCs w:val="22"/>
        </w:rPr>
      </w:pPr>
      <w:r w:rsidRPr="00157C8D">
        <w:rPr>
          <w:sz w:val="22"/>
          <w:szCs w:val="22"/>
        </w:rPr>
        <w:t>Классификация – это некоторый стандарт, в котором единица наблюдения может быть отнесена лишь к одной группе или подгруппе. Классификация основывается на самых существенных признаках, которые являются довольно устойчивыми в течение определенного времени. [8, с.83]</w:t>
      </w:r>
    </w:p>
    <w:p w:rsidR="00644B16" w:rsidRPr="00157C8D" w:rsidRDefault="00644B16" w:rsidP="00157C8D">
      <w:pPr>
        <w:pStyle w:val="3"/>
        <w:spacing w:after="120"/>
        <w:ind w:firstLine="709"/>
        <w:rPr>
          <w:sz w:val="22"/>
          <w:szCs w:val="22"/>
        </w:rPr>
      </w:pPr>
      <w:r w:rsidRPr="00157C8D">
        <w:rPr>
          <w:sz w:val="22"/>
          <w:szCs w:val="22"/>
        </w:rPr>
        <w:t xml:space="preserve">Непосредственно в региональной статистике, то есть, где единицей наблюдения является регион, применяется три классификатора: Общероссийский классификатор объектов административно-территориального деления (ОКАТО–ОК019-95); Общероссийский классификатор экономических регионов (ОКЭР – ОК024-95); Общероссийский классификатор муниципальных образований (ОКМО - ОК). </w:t>
      </w:r>
    </w:p>
    <w:p w:rsidR="00644B16" w:rsidRPr="00157C8D" w:rsidRDefault="00644B16" w:rsidP="00157C8D">
      <w:pPr>
        <w:pStyle w:val="3"/>
        <w:spacing w:after="120"/>
        <w:ind w:firstLine="709"/>
        <w:rPr>
          <w:sz w:val="22"/>
          <w:szCs w:val="22"/>
        </w:rPr>
      </w:pPr>
      <w:r w:rsidRPr="00157C8D">
        <w:rPr>
          <w:sz w:val="22"/>
          <w:szCs w:val="22"/>
        </w:rPr>
        <w:t xml:space="preserve">Для типологической группировки важно устойчивое разделение на группы. Так, если взглянуть на разделение России на отдельные виды поселений, можно заметить, что за </w:t>
      </w:r>
      <w:proofErr w:type="spellStart"/>
      <w:r w:rsidRPr="00157C8D">
        <w:rPr>
          <w:sz w:val="22"/>
          <w:szCs w:val="22"/>
        </w:rPr>
        <w:t>межпереписной</w:t>
      </w:r>
      <w:proofErr w:type="spellEnd"/>
      <w:r w:rsidRPr="00157C8D">
        <w:rPr>
          <w:sz w:val="22"/>
          <w:szCs w:val="22"/>
        </w:rPr>
        <w:t xml:space="preserve"> период такое деление почти не изменилось, т.е. оно - весьма устойчиво.</w:t>
      </w:r>
    </w:p>
    <w:p w:rsidR="00644B16" w:rsidRPr="005F34B2" w:rsidRDefault="005F34B2" w:rsidP="005F34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Таблица 1.</w:t>
      </w:r>
    </w:p>
    <w:p w:rsidR="00644B16" w:rsidRPr="00157C8D" w:rsidRDefault="00644B16" w:rsidP="00644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7C8D">
        <w:rPr>
          <w:rFonts w:ascii="Times New Roman" w:eastAsia="Times New Roman" w:hAnsi="Times New Roman" w:cs="Times New Roman"/>
          <w:b/>
          <w:bCs/>
          <w:lang w:eastAsia="ru-RU"/>
        </w:rPr>
        <w:t>ЧИСЛО РАЙОНОВ, ГОРОДСКИХ И СЕЛЬСКИХ НАСЕЛЕННЫХ ПУНКТОВ РОССИЙСКОЙ ФЕДЕРАЦИИ ПО ДАННЫМ ПЕРЕПИСЕЙ 2002 И 2010 ГОДОВ</w:t>
      </w:r>
    </w:p>
    <w:tbl>
      <w:tblPr>
        <w:tblW w:w="9044" w:type="dxa"/>
        <w:tblInd w:w="160" w:type="dxa"/>
        <w:tblLayout w:type="fixed"/>
        <w:tblLook w:val="05A0" w:firstRow="1" w:lastRow="0" w:firstColumn="1" w:lastColumn="1" w:noHBand="0" w:noVBand="1"/>
      </w:tblPr>
      <w:tblGrid>
        <w:gridCol w:w="2524"/>
        <w:gridCol w:w="1154"/>
        <w:gridCol w:w="1114"/>
        <w:gridCol w:w="1417"/>
        <w:gridCol w:w="1418"/>
        <w:gridCol w:w="1417"/>
      </w:tblGrid>
      <w:tr w:rsidR="00644B16" w:rsidRPr="005F34B2" w:rsidTr="00157C8D">
        <w:trPr>
          <w:trHeight w:val="1205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B16" w:rsidRPr="005F34B2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16" w:rsidRPr="005F34B2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Районы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16" w:rsidRPr="005F34B2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16" w:rsidRPr="005F34B2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Внутри-городские районы,</w:t>
            </w: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округа города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16" w:rsidRPr="005F34B2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Поселки городского типа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16" w:rsidRPr="005F34B2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Сельские населен-</w:t>
            </w:r>
            <w:proofErr w:type="spellStart"/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ные</w:t>
            </w:r>
            <w:proofErr w:type="spellEnd"/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пункты</w:t>
            </w:r>
          </w:p>
        </w:tc>
      </w:tr>
      <w:tr w:rsidR="00644B16" w:rsidRPr="005F34B2" w:rsidTr="00134B7A">
        <w:trPr>
          <w:trHeight w:val="315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16" w:rsidRPr="005F34B2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переписи 2002 года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16" w:rsidRPr="005F34B2" w:rsidRDefault="00644B16" w:rsidP="001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1866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16" w:rsidRPr="005F34B2" w:rsidRDefault="00644B16" w:rsidP="001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1098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16" w:rsidRPr="005F34B2" w:rsidRDefault="00644B16" w:rsidP="001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16" w:rsidRPr="005F34B2" w:rsidRDefault="00644B16" w:rsidP="001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1842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16" w:rsidRPr="005F34B2" w:rsidRDefault="00644B16" w:rsidP="001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155289</w:t>
            </w:r>
          </w:p>
        </w:tc>
      </w:tr>
      <w:tr w:rsidR="00644B16" w:rsidRPr="005F34B2" w:rsidTr="00134B7A">
        <w:trPr>
          <w:trHeight w:val="330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16" w:rsidRPr="005F34B2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переписи 2010 года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16" w:rsidRPr="005F34B2" w:rsidRDefault="00644B16" w:rsidP="001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1865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16" w:rsidRPr="005F34B2" w:rsidRDefault="00644B16" w:rsidP="001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16" w:rsidRPr="005F34B2" w:rsidRDefault="00644B16" w:rsidP="001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16" w:rsidRPr="005F34B2" w:rsidRDefault="00644B16" w:rsidP="001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16" w:rsidRPr="005F34B2" w:rsidRDefault="00644B16" w:rsidP="0013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B2">
              <w:rPr>
                <w:rFonts w:ascii="Times New Roman" w:eastAsia="Times New Roman" w:hAnsi="Times New Roman" w:cs="Times New Roman"/>
                <w:bCs/>
                <w:lang w:eastAsia="ru-RU"/>
              </w:rPr>
              <w:t>153124</w:t>
            </w:r>
          </w:p>
        </w:tc>
      </w:tr>
    </w:tbl>
    <w:p w:rsidR="00644B16" w:rsidRPr="00701921" w:rsidRDefault="00644B16" w:rsidP="007E1160">
      <w:pPr>
        <w:pStyle w:val="3"/>
        <w:spacing w:after="120"/>
        <w:ind w:firstLine="709"/>
        <w:rPr>
          <w:sz w:val="24"/>
          <w:szCs w:val="24"/>
        </w:rPr>
      </w:pPr>
      <w:r w:rsidRPr="00701921">
        <w:rPr>
          <w:sz w:val="24"/>
          <w:szCs w:val="24"/>
        </w:rPr>
        <w:t>Правда, здесь следует сделать оговорку на то, что сельских населенных пунктов без приписного населения стало гораздо больше: в 2002 году их было 13086 чел., а в 2010 – 19416 чел.</w:t>
      </w:r>
    </w:p>
    <w:p w:rsidR="00644B16" w:rsidRPr="00701921" w:rsidRDefault="00644B16" w:rsidP="007E1160">
      <w:pPr>
        <w:pStyle w:val="3"/>
        <w:spacing w:after="120"/>
        <w:ind w:firstLine="709"/>
        <w:rPr>
          <w:sz w:val="24"/>
          <w:szCs w:val="24"/>
        </w:rPr>
      </w:pPr>
      <w:r w:rsidRPr="00701921">
        <w:rPr>
          <w:sz w:val="24"/>
          <w:szCs w:val="24"/>
        </w:rPr>
        <w:t>Типологические группировки на основе количественных показателей имеют особое значение. Во-первых - это инструмент для построения аналитической группировки, где основание является факторным показателем; во-вторых – это начальный этап анализа факторов при корреляционно-регрессионном анализе пространственного развития; в-третьих – основой анализа динамики пространственного развития.</w:t>
      </w:r>
    </w:p>
    <w:p w:rsidR="00644B16" w:rsidRPr="00701921" w:rsidRDefault="00644B16" w:rsidP="007E1160">
      <w:pPr>
        <w:pStyle w:val="3"/>
        <w:spacing w:after="120"/>
        <w:ind w:firstLine="709"/>
        <w:rPr>
          <w:sz w:val="24"/>
          <w:szCs w:val="24"/>
        </w:rPr>
      </w:pPr>
      <w:r w:rsidRPr="00701921">
        <w:rPr>
          <w:sz w:val="24"/>
          <w:szCs w:val="24"/>
        </w:rPr>
        <w:lastRenderedPageBreak/>
        <w:t>Одна из самых распространенных группировок является группировка по численности населения. Так на ниже представленном графике видно, что численность населения уменьшилась за переписной период в основном в городских поселениях с малым числом жителей, в средних и крупных городах население стабильно по численности.</w:t>
      </w:r>
    </w:p>
    <w:p w:rsidR="00644B16" w:rsidRPr="00701921" w:rsidRDefault="00644B16" w:rsidP="00644B16">
      <w:pPr>
        <w:pStyle w:val="3"/>
        <w:spacing w:after="120" w:line="360" w:lineRule="auto"/>
        <w:rPr>
          <w:sz w:val="24"/>
          <w:szCs w:val="24"/>
        </w:rPr>
      </w:pPr>
      <w:r w:rsidRPr="00701921">
        <w:rPr>
          <w:noProof/>
          <w:sz w:val="24"/>
          <w:szCs w:val="24"/>
        </w:rPr>
        <w:drawing>
          <wp:inline distT="0" distB="0" distL="0" distR="0" wp14:anchorId="73C1A24A" wp14:editId="667BD6EF">
            <wp:extent cx="564832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4B16" w:rsidRPr="00701921" w:rsidRDefault="00644B16" w:rsidP="00644B16">
      <w:pPr>
        <w:pStyle w:val="3"/>
        <w:spacing w:after="120" w:line="360" w:lineRule="auto"/>
        <w:rPr>
          <w:sz w:val="24"/>
          <w:szCs w:val="24"/>
        </w:rPr>
      </w:pPr>
      <w:r w:rsidRPr="00701921">
        <w:rPr>
          <w:sz w:val="24"/>
          <w:szCs w:val="24"/>
        </w:rPr>
        <w:t>Рис.1. Группировка городских населенных пунктов по численности населения</w:t>
      </w:r>
    </w:p>
    <w:tbl>
      <w:tblPr>
        <w:tblW w:w="1386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681"/>
        <w:gridCol w:w="841"/>
        <w:gridCol w:w="699"/>
        <w:gridCol w:w="840"/>
        <w:gridCol w:w="689"/>
        <w:gridCol w:w="840"/>
        <w:gridCol w:w="699"/>
        <w:gridCol w:w="699"/>
        <w:gridCol w:w="1470"/>
        <w:gridCol w:w="960"/>
        <w:gridCol w:w="960"/>
        <w:gridCol w:w="602"/>
        <w:gridCol w:w="358"/>
        <w:gridCol w:w="602"/>
        <w:gridCol w:w="960"/>
        <w:gridCol w:w="960"/>
      </w:tblGrid>
      <w:tr w:rsidR="00644B16" w:rsidRPr="00701921" w:rsidTr="00134B7A">
        <w:trPr>
          <w:gridAfter w:val="3"/>
          <w:wAfter w:w="2522" w:type="dxa"/>
          <w:trHeight w:val="300"/>
        </w:trPr>
        <w:tc>
          <w:tcPr>
            <w:tcW w:w="8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данным пер</w:t>
            </w:r>
            <w:r w:rsidRPr="0070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писей на</w:t>
            </w:r>
            <w:r w:rsidRPr="0070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8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</w:t>
            </w:r>
            <w:r w:rsidRPr="0018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2002 и 2010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B16" w:rsidRPr="00701921" w:rsidTr="00134B7A">
        <w:trPr>
          <w:trHeight w:val="31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16" w:rsidRPr="0018065D" w:rsidRDefault="00644B16" w:rsidP="0013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B16" w:rsidRPr="00701921" w:rsidRDefault="00644B16" w:rsidP="00644B16">
      <w:pPr>
        <w:pStyle w:val="3"/>
        <w:spacing w:after="120" w:line="360" w:lineRule="auto"/>
        <w:ind w:firstLine="709"/>
        <w:rPr>
          <w:sz w:val="24"/>
          <w:szCs w:val="24"/>
        </w:rPr>
      </w:pPr>
    </w:p>
    <w:p w:rsidR="00644B16" w:rsidRPr="00701921" w:rsidRDefault="00644B16" w:rsidP="007E1160">
      <w:pPr>
        <w:pStyle w:val="3"/>
        <w:spacing w:after="120"/>
        <w:ind w:firstLine="709"/>
        <w:rPr>
          <w:sz w:val="24"/>
          <w:szCs w:val="24"/>
        </w:rPr>
      </w:pPr>
      <w:r w:rsidRPr="00701921">
        <w:rPr>
          <w:sz w:val="24"/>
          <w:szCs w:val="24"/>
        </w:rPr>
        <w:t xml:space="preserve">Для выявления типологии широко используется анализ рядов распределения регионов. Важнейшей группировкой является группировка городов по численности населения. Ниже приведена такая группировка с неравными интервалами. При этом следует обратить внимание, что по оси ординат обязательно откладывают плотность распределения, а не частоту или </w:t>
      </w:r>
      <w:proofErr w:type="spellStart"/>
      <w:r w:rsidRPr="00701921">
        <w:rPr>
          <w:sz w:val="24"/>
          <w:szCs w:val="24"/>
        </w:rPr>
        <w:t>частость</w:t>
      </w:r>
      <w:proofErr w:type="spellEnd"/>
      <w:r w:rsidRPr="00701921">
        <w:rPr>
          <w:sz w:val="24"/>
          <w:szCs w:val="24"/>
        </w:rPr>
        <w:t xml:space="preserve">.  </w:t>
      </w:r>
    </w:p>
    <w:p w:rsidR="00644B16" w:rsidRPr="00701921" w:rsidRDefault="00644B16" w:rsidP="00644B16">
      <w:pPr>
        <w:pStyle w:val="3"/>
        <w:spacing w:after="120" w:line="360" w:lineRule="auto"/>
        <w:ind w:firstLine="709"/>
        <w:rPr>
          <w:sz w:val="24"/>
          <w:szCs w:val="24"/>
        </w:rPr>
      </w:pPr>
      <w:r w:rsidRPr="00701921">
        <w:rPr>
          <w:noProof/>
          <w:sz w:val="24"/>
          <w:szCs w:val="24"/>
        </w:rPr>
        <w:drawing>
          <wp:inline distT="0" distB="0" distL="0" distR="0" wp14:anchorId="37F177F3" wp14:editId="4593790C">
            <wp:extent cx="4876800" cy="2800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4B16" w:rsidRPr="00701921" w:rsidRDefault="00644B16" w:rsidP="007E1160">
      <w:pPr>
        <w:pStyle w:val="3"/>
        <w:spacing w:after="120"/>
        <w:ind w:firstLine="709"/>
        <w:rPr>
          <w:sz w:val="24"/>
          <w:szCs w:val="24"/>
        </w:rPr>
      </w:pPr>
      <w:r w:rsidRPr="00701921">
        <w:rPr>
          <w:sz w:val="24"/>
          <w:szCs w:val="24"/>
        </w:rPr>
        <w:lastRenderedPageBreak/>
        <w:t>Кроме того, использование основных показателей, характеризующих социально-экономическое положения регионов, таких, как валовой региональный продукт, уровень безработицы, доходов на душу населения для субъектов Федерации или выпуск продукции в отдельных отраслях, инвестиции на душу населения, средняя заработная плата для более мелких регионов в качестве основания для группировки, территориальные группировки позволяют выделить, с одной стороны, экономически развитые регионы, которые имеют развитую рыночную экономику, привлекательные для приложения труда и инвестиций, а, с другой стороны - депрессивные регионы, которым необходима государственная поддержка для их демографического, социального, культурного или экономического развития.</w:t>
      </w:r>
    </w:p>
    <w:p w:rsidR="00644B16" w:rsidRPr="00701921" w:rsidRDefault="00644B16" w:rsidP="007E1160">
      <w:pPr>
        <w:pStyle w:val="3"/>
        <w:spacing w:after="120"/>
        <w:ind w:firstLine="709"/>
        <w:rPr>
          <w:sz w:val="24"/>
          <w:szCs w:val="24"/>
        </w:rPr>
      </w:pPr>
      <w:r w:rsidRPr="00701921">
        <w:rPr>
          <w:sz w:val="24"/>
          <w:szCs w:val="24"/>
        </w:rPr>
        <w:t xml:space="preserve">Комплексному региональному статистическому анализу, где объектом статистического изучения являются различные совокупности регионов, внимание уделяется крайне мало. В настоящее время в региональной статистике применяются в основном типологические группировки, причем основанные на классификаторах. </w:t>
      </w:r>
    </w:p>
    <w:p w:rsidR="00644B16" w:rsidRPr="00701921" w:rsidRDefault="00644B16" w:rsidP="007E1160">
      <w:pPr>
        <w:pStyle w:val="3"/>
        <w:spacing w:after="120"/>
        <w:ind w:firstLine="709"/>
        <w:rPr>
          <w:sz w:val="24"/>
          <w:szCs w:val="24"/>
        </w:rPr>
      </w:pPr>
      <w:r w:rsidRPr="00701921">
        <w:rPr>
          <w:sz w:val="24"/>
          <w:szCs w:val="24"/>
        </w:rPr>
        <w:t xml:space="preserve">Региональная статистика должна решать не только задачу регионального разреза в макроэкономической статистике, но, и исследовать пространственную экономику. </w:t>
      </w:r>
    </w:p>
    <w:p w:rsidR="00644B16" w:rsidRDefault="00644B16" w:rsidP="007E1160">
      <w:pPr>
        <w:pStyle w:val="3"/>
        <w:spacing w:after="120"/>
        <w:ind w:firstLine="709"/>
        <w:rPr>
          <w:sz w:val="24"/>
          <w:szCs w:val="24"/>
        </w:rPr>
      </w:pPr>
      <w:r w:rsidRPr="00701921">
        <w:rPr>
          <w:sz w:val="24"/>
          <w:szCs w:val="24"/>
        </w:rPr>
        <w:t xml:space="preserve">Изучение совокупности регионов на основе различий составляет важную задачу региональной статистики. Региональные особенности – это специфические различия в географических, экономических и социально-демографических условиях общественного производства, оказывающих существенное влияние на качественные показатели экономической деятельности регионов и обусловливающих необходимость их учета в осуществлении региональной политики. </w:t>
      </w:r>
    </w:p>
    <w:p w:rsidR="005F34B2" w:rsidRDefault="005F34B2" w:rsidP="007E1160">
      <w:pPr>
        <w:pStyle w:val="3"/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Так, один из социальных индикаторов является показатель среднедушевых денежных доходов населения в регионах. Изменения структуры регионов по этому индикатору значительны см. таблицу 2.</w:t>
      </w:r>
    </w:p>
    <w:p w:rsidR="007E1160" w:rsidRDefault="007E1160" w:rsidP="00D12073">
      <w:pPr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C573D2" w:rsidRPr="00D12073" w:rsidRDefault="00997618" w:rsidP="00D12073">
      <w:pPr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D12073">
        <w:rPr>
          <w:rFonts w:ascii="Calibri" w:eastAsia="Times New Roman" w:hAnsi="Calibri" w:cs="Times New Roman"/>
          <w:b/>
          <w:color w:val="000000"/>
          <w:lang w:eastAsia="ru-RU"/>
        </w:rPr>
        <w:t>Группировка субъектов Федерации по величине денежных доходов на душу</w:t>
      </w:r>
    </w:p>
    <w:tbl>
      <w:tblPr>
        <w:tblpPr w:leftFromText="180" w:rightFromText="180" w:vertAnchor="page" w:horzAnchor="margin" w:tblpY="93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36"/>
        <w:gridCol w:w="616"/>
        <w:gridCol w:w="663"/>
        <w:gridCol w:w="595"/>
        <w:gridCol w:w="567"/>
        <w:gridCol w:w="567"/>
        <w:gridCol w:w="567"/>
        <w:gridCol w:w="536"/>
        <w:gridCol w:w="536"/>
        <w:gridCol w:w="536"/>
        <w:gridCol w:w="536"/>
        <w:gridCol w:w="549"/>
        <w:gridCol w:w="536"/>
        <w:gridCol w:w="598"/>
      </w:tblGrid>
      <w:tr w:rsidR="007E1160" w:rsidRPr="00D12073" w:rsidTr="007E1160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2013</w:t>
            </w:r>
          </w:p>
        </w:tc>
      </w:tr>
      <w:tr w:rsidR="007E1160" w:rsidRPr="00D12073" w:rsidTr="007E1160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587 - 4390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E1160" w:rsidRPr="00D12073" w:rsidTr="007E1160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4390 - 8193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E1160" w:rsidRPr="00D12073" w:rsidTr="007E1160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8193 - 11996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E1160" w:rsidRPr="00D12073" w:rsidTr="007E1160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11996 - 15799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E1160" w:rsidRPr="00D12073" w:rsidTr="007E1160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15799 - 19602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7E1160" w:rsidRPr="00D12073" w:rsidTr="007E1160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19602 - 23405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7E1160" w:rsidRPr="00D12073" w:rsidTr="007E1160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23405 - 27208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E1160" w:rsidRPr="00D12073" w:rsidTr="007E1160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27208 - 31013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E1160" w:rsidRPr="00C573D2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573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997618" w:rsidRDefault="0099761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1160" w:rsidRDefault="007E11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60" w:rsidRPr="00315F8B" w:rsidRDefault="007E1160" w:rsidP="007E11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сравнения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группировки регионов во времени необходима одинаковая группировка по всем сравниваемым годам. 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приведена такая группировка</w:t>
      </w:r>
    </w:p>
    <w:p w:rsidR="007E1160" w:rsidRDefault="007E11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60" w:rsidRDefault="007E11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E1160" w:rsidRDefault="007E11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341"/>
        <w:tblW w:w="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413"/>
      </w:tblGrid>
      <w:tr w:rsidR="007E1160" w:rsidRPr="007E1160" w:rsidTr="007E1160">
        <w:trPr>
          <w:trHeight w:val="28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</w:tr>
      <w:tr w:rsidR="007E1160" w:rsidRPr="007E1160" w:rsidTr="007E1160">
        <w:trPr>
          <w:trHeight w:val="288"/>
        </w:trPr>
        <w:tc>
          <w:tcPr>
            <w:tcW w:w="562" w:type="dxa"/>
            <w:shd w:val="clear" w:color="auto" w:fill="auto"/>
            <w:noWrap/>
            <w:vAlign w:val="bottom"/>
          </w:tcPr>
          <w:p w:rsidR="007E1160" w:rsidRPr="007E1160" w:rsidRDefault="007E1160" w:rsidP="007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E1160" w:rsidRPr="007E1160" w:rsidRDefault="007E1160" w:rsidP="007E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1160" w:rsidRPr="007E1160" w:rsidTr="007E1160">
        <w:trPr>
          <w:trHeight w:val="28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10000 - 13500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E1160" w:rsidRPr="007E1160" w:rsidTr="007E1160">
        <w:trPr>
          <w:trHeight w:val="28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13500 - 17000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E1160" w:rsidRPr="007E1160" w:rsidTr="007E1160">
        <w:trPr>
          <w:trHeight w:val="28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17000 - 20500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1160" w:rsidRPr="007E1160" w:rsidTr="007E1160">
        <w:trPr>
          <w:trHeight w:val="28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20500 - 24000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E1160" w:rsidRPr="007E1160" w:rsidTr="007E1160">
        <w:trPr>
          <w:trHeight w:val="28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24000 - 27500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E1160" w:rsidRPr="007E1160" w:rsidTr="007E1160">
        <w:trPr>
          <w:trHeight w:val="28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27500 - 31000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E1160" w:rsidRPr="007E1160" w:rsidTr="007E1160">
        <w:trPr>
          <w:trHeight w:val="28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31000 - 34500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E1160" w:rsidRPr="007E1160" w:rsidTr="007E1160">
        <w:trPr>
          <w:trHeight w:val="288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Свыше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E1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7E1160" w:rsidRPr="007E1160" w:rsidRDefault="007E1160" w:rsidP="007E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7E1160" w:rsidRDefault="007E1160" w:rsidP="007E116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D12073">
        <w:rPr>
          <w:rFonts w:ascii="Calibri" w:eastAsia="Times New Roman" w:hAnsi="Calibri" w:cs="Times New Roman"/>
          <w:b/>
          <w:color w:val="000000"/>
          <w:lang w:eastAsia="ru-RU"/>
        </w:rPr>
        <w:t>Группировка субъектов Федерации по величине денежных доходов на душу</w:t>
      </w: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</w:p>
    <w:p w:rsidR="007E1160" w:rsidRDefault="007E1160" w:rsidP="007E116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за 2012 – 2013 гг.</w:t>
      </w:r>
    </w:p>
    <w:p w:rsidR="007E1160" w:rsidRPr="00315F8B" w:rsidRDefault="007E1160" w:rsidP="007E11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60" w:rsidRDefault="007E11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60" w:rsidRDefault="007E11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160" w:rsidRDefault="007E11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F8B" w:rsidRDefault="00315F8B" w:rsidP="00315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F8B" w:rsidRDefault="00315F8B" w:rsidP="00315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F8B" w:rsidRDefault="00315F8B" w:rsidP="00315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F8B" w:rsidRDefault="00315F8B" w:rsidP="00315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F8B" w:rsidRDefault="00315F8B" w:rsidP="00315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даже в двух смежных годах разница в структуре видна «на глаз».</w:t>
      </w:r>
    </w:p>
    <w:p w:rsidR="00315F8B" w:rsidRPr="00315F8B" w:rsidRDefault="00315F8B" w:rsidP="00315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F8B" w:rsidRDefault="00315F8B" w:rsidP="00315F8B">
      <w:r>
        <w:rPr>
          <w:noProof/>
          <w:lang w:eastAsia="ru-RU"/>
        </w:rPr>
        <w:drawing>
          <wp:inline distT="0" distB="0" distL="0" distR="0" wp14:anchorId="405FB730" wp14:editId="78C6D844">
            <wp:extent cx="5684520" cy="22174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F8B" w:rsidRDefault="00315F8B" w:rsidP="00315F8B"/>
    <w:p w:rsidR="00315F8B" w:rsidRPr="00747667" w:rsidRDefault="00315F8B" w:rsidP="00315F8B">
      <w:r>
        <w:rPr>
          <w:noProof/>
          <w:lang w:eastAsia="ru-RU"/>
        </w:rPr>
        <w:drawing>
          <wp:inline distT="0" distB="0" distL="0" distR="0" wp14:anchorId="297CA0E1" wp14:editId="58A1970A">
            <wp:extent cx="5562600" cy="1889760"/>
            <wp:effectExtent l="0" t="0" r="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34B2" w:rsidRPr="00701921" w:rsidRDefault="00315F8B" w:rsidP="00D12073">
      <w:pPr>
        <w:pStyle w:val="3"/>
        <w:spacing w:after="12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Таким образом для временных сравнений нужно выбрать период, за который следует делать объединенную динамическую группировку</w:t>
      </w:r>
      <w:r w:rsidR="007E1160">
        <w:rPr>
          <w:sz w:val="24"/>
          <w:szCs w:val="24"/>
        </w:rPr>
        <w:t>. Эта скользящая динамическая группировка может менять свою периодичность в зависимости от интенсивности структурных изменений.</w:t>
      </w:r>
    </w:p>
    <w:sectPr w:rsidR="005F34B2" w:rsidRPr="00701921" w:rsidSect="00413C0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F" w:rsidRDefault="00730B5F" w:rsidP="00413C00">
      <w:pPr>
        <w:spacing w:after="0" w:line="240" w:lineRule="auto"/>
      </w:pPr>
      <w:r>
        <w:separator/>
      </w:r>
    </w:p>
  </w:endnote>
  <w:endnote w:type="continuationSeparator" w:id="0">
    <w:p w:rsidR="00730B5F" w:rsidRDefault="00730B5F" w:rsidP="0041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F" w:rsidRDefault="00730B5F" w:rsidP="00413C00">
      <w:pPr>
        <w:spacing w:after="0" w:line="240" w:lineRule="auto"/>
      </w:pPr>
      <w:r>
        <w:separator/>
      </w:r>
    </w:p>
  </w:footnote>
  <w:footnote w:type="continuationSeparator" w:id="0">
    <w:p w:rsidR="00730B5F" w:rsidRDefault="00730B5F" w:rsidP="0041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793952"/>
      <w:docPartObj>
        <w:docPartGallery w:val="Page Numbers (Top of Page)"/>
        <w:docPartUnique/>
      </w:docPartObj>
    </w:sdtPr>
    <w:sdtContent>
      <w:p w:rsidR="00413C00" w:rsidRDefault="00413C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3C00" w:rsidRDefault="00413C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16"/>
    <w:rsid w:val="00014FAD"/>
    <w:rsid w:val="00110357"/>
    <w:rsid w:val="00157C8D"/>
    <w:rsid w:val="002F4B8C"/>
    <w:rsid w:val="00315F8B"/>
    <w:rsid w:val="00413C00"/>
    <w:rsid w:val="005F34B2"/>
    <w:rsid w:val="00644B16"/>
    <w:rsid w:val="00730B5F"/>
    <w:rsid w:val="007E1160"/>
    <w:rsid w:val="00997618"/>
    <w:rsid w:val="00BD07DA"/>
    <w:rsid w:val="00C573D2"/>
    <w:rsid w:val="00D077E5"/>
    <w:rsid w:val="00D12073"/>
    <w:rsid w:val="00F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4B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4B1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B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C00"/>
  </w:style>
  <w:style w:type="paragraph" w:styleId="a7">
    <w:name w:val="footer"/>
    <w:basedOn w:val="a"/>
    <w:link w:val="a8"/>
    <w:uiPriority w:val="99"/>
    <w:unhideWhenUsed/>
    <w:rsid w:val="0041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4B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4B1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B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C00"/>
  </w:style>
  <w:style w:type="paragraph" w:styleId="a7">
    <w:name w:val="footer"/>
    <w:basedOn w:val="a"/>
    <w:link w:val="a8"/>
    <w:uiPriority w:val="99"/>
    <w:unhideWhenUsed/>
    <w:rsid w:val="0041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89;&#1077;%20&#1076;&#1086;&#1082;&#1091;&#1084;&#1077;&#1085;&#1090;&#1099;\&#1054;&#1089;&#1085;&#1086;&#1074;&#1085;&#1099;&#1077;%20(&#1084;&#1072;&#1084;&#1072;)\Documents\&#1052;&#1040;&#1052;&#1040;\&#1042;&#1064;&#1069;\&#1057;&#1090;&#1072;&#1090;&#1100;&#1080;\2014\&#1050;&#1085;&#1080;&#1075;&#1072;1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077;&#1075;\AppData\Local\Temp\HamsterArc%7b8a5f4ad5-45c9-485a-82ea-953abb292374%7d\&#1070;&#1083;&#1100;&#1103;&#1082;&#1096;&#1080;&#1085;&#1086;&#1081;%20&#1040;&#1081;&#1075;&#1091;&#1083;&#1100;%20&#1089;4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40;&#1052;&#1040;\&#1042;&#1064;&#1069;\&#1051;&#1080;&#1095;&#1085;&#1072;&#1103;\&#1057;&#1090;&#1072;&#1090;&#1100;&#1080;\&#1044;&#1083;&#1103;%20&#1089;&#1077;&#1082;&#1094;&#1080;&#1080;%20&#1057;&#1090;&#1072;&#1090;&#1080;&#1089;&#1090;&#1080;&#1082;&#1080;%20&#1044;&#1059;\&#1044;&#1077;&#1085;&#1077;&#1078;&#1085;&#1099;&#1077;%20&#1076;&#1086;&#1093;&#1086;&#1076;&#1099;%202000-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40;&#1052;&#1040;\&#1042;&#1064;&#1069;\&#1051;&#1080;&#1095;&#1085;&#1072;&#1103;\&#1057;&#1090;&#1072;&#1090;&#1100;&#1080;\&#1044;&#1083;&#1103;%20&#1089;&#1077;&#1082;&#1094;&#1080;&#1080;%20&#1057;&#1090;&#1072;&#1090;&#1080;&#1089;&#1090;&#1080;&#1082;&#1080;%20&#1044;&#1059;\&#1044;&#1077;&#1085;&#1077;&#1078;&#1085;&#1099;&#1077;%20&#1076;&#1086;&#1093;&#1086;&#1076;&#1099;%202000-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16157444906238E-2"/>
          <c:y val="0.24509046161514678"/>
          <c:w val="0.87753018372703417"/>
          <c:h val="0.564127661125692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Лист1!$B$45:$K$46</c:f>
              <c:strCache>
                <c:ptCount val="10"/>
                <c:pt idx="1">
                  <c:v>до 5000</c:v>
                </c:pt>
                <c:pt idx="2">
                  <c:v>5000-         9999</c:v>
                </c:pt>
                <c:pt idx="3">
                  <c:v>10000-     19999</c:v>
                </c:pt>
                <c:pt idx="4">
                  <c:v>20000-     49999</c:v>
                </c:pt>
                <c:pt idx="5">
                  <c:v>50000-     99999</c:v>
                </c:pt>
                <c:pt idx="6">
                  <c:v>100000-    249999</c:v>
                </c:pt>
                <c:pt idx="7">
                  <c:v>250000-  499999</c:v>
                </c:pt>
                <c:pt idx="8">
                  <c:v>500000-  999999</c:v>
                </c:pt>
                <c:pt idx="9">
                  <c:v>1 млн. и более</c:v>
                </c:pt>
              </c:strCache>
              <c:extLst/>
            </c:strRef>
          </c:cat>
          <c:val>
            <c:numRef>
              <c:f>Лист1!$B$47:$K$47</c:f>
              <c:numCache>
                <c:formatCode>General</c:formatCode>
                <c:ptCount val="10"/>
                <c:pt idx="0">
                  <c:v>2940</c:v>
                </c:pt>
                <c:pt idx="1">
                  <c:v>1020</c:v>
                </c:pt>
                <c:pt idx="2">
                  <c:v>683</c:v>
                </c:pt>
                <c:pt idx="3">
                  <c:v>524</c:v>
                </c:pt>
                <c:pt idx="4">
                  <c:v>383</c:v>
                </c:pt>
                <c:pt idx="5">
                  <c:v>163</c:v>
                </c:pt>
                <c:pt idx="6">
                  <c:v>92</c:v>
                </c:pt>
                <c:pt idx="7">
                  <c:v>42</c:v>
                </c:pt>
                <c:pt idx="8">
                  <c:v>20</c:v>
                </c:pt>
                <c:pt idx="9">
                  <c:v>13</c:v>
                </c:pt>
              </c:numCache>
            </c:numRef>
          </c:val>
        </c:ser>
        <c:ser>
          <c:idx val="1"/>
          <c:order val="1"/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Лист1!$B$45:$K$46</c:f>
              <c:strCache>
                <c:ptCount val="10"/>
                <c:pt idx="1">
                  <c:v>до 5000</c:v>
                </c:pt>
                <c:pt idx="2">
                  <c:v>5000-         9999</c:v>
                </c:pt>
                <c:pt idx="3">
                  <c:v>10000-     19999</c:v>
                </c:pt>
                <c:pt idx="4">
                  <c:v>20000-     49999</c:v>
                </c:pt>
                <c:pt idx="5">
                  <c:v>50000-     99999</c:v>
                </c:pt>
                <c:pt idx="6">
                  <c:v>100000-    249999</c:v>
                </c:pt>
                <c:pt idx="7">
                  <c:v>250000-  499999</c:v>
                </c:pt>
                <c:pt idx="8">
                  <c:v>500000-  999999</c:v>
                </c:pt>
                <c:pt idx="9">
                  <c:v>1 млн. и более</c:v>
                </c:pt>
              </c:strCache>
              <c:extLst/>
            </c:strRef>
          </c:cat>
          <c:val>
            <c:numRef>
              <c:f>Лист1!$B$48:$K$48</c:f>
              <c:numCache>
                <c:formatCode>General</c:formatCode>
                <c:ptCount val="10"/>
                <c:pt idx="0">
                  <c:v>2386</c:v>
                </c:pt>
                <c:pt idx="1">
                  <c:v>667</c:v>
                </c:pt>
                <c:pt idx="2">
                  <c:v>570</c:v>
                </c:pt>
                <c:pt idx="3">
                  <c:v>444</c:v>
                </c:pt>
                <c:pt idx="4">
                  <c:v>386</c:v>
                </c:pt>
                <c:pt idx="5">
                  <c:v>155</c:v>
                </c:pt>
                <c:pt idx="6">
                  <c:v>91</c:v>
                </c:pt>
                <c:pt idx="7">
                  <c:v>36</c:v>
                </c:pt>
                <c:pt idx="8">
                  <c:v>25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372864"/>
        <c:axId val="164374784"/>
      </c:barChart>
      <c:catAx>
        <c:axId val="164372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Численность населения</a:t>
                </a:r>
              </a:p>
            </c:rich>
          </c:tx>
          <c:layout>
            <c:manualLayout>
              <c:xMode val="edge"/>
              <c:yMode val="edge"/>
              <c:x val="0.41823545473271073"/>
              <c:y val="0.9240000545064441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374784"/>
        <c:crosses val="autoZero"/>
        <c:auto val="1"/>
        <c:lblAlgn val="ctr"/>
        <c:lblOffset val="100"/>
        <c:noMultiLvlLbl val="0"/>
      </c:catAx>
      <c:valAx>
        <c:axId val="16437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Число городских поселений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3728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Распределение городов по численности населения</a:t>
            </a:r>
          </a:p>
        </c:rich>
      </c:tx>
      <c:layout>
        <c:manualLayout>
          <c:xMode val="edge"/>
          <c:yMode val="edge"/>
          <c:x val="0.11167363845144357"/>
          <c:y val="3.24073776492224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numRef>
              <c:f>'Исходные данные+сравнение мод-й'!$K$2:$K$13</c:f>
              <c:numCache>
                <c:formatCode>General</c:formatCode>
                <c:ptCount val="12"/>
                <c:pt idx="0">
                  <c:v>1000</c:v>
                </c:pt>
                <c:pt idx="1">
                  <c:v>3000</c:v>
                </c:pt>
                <c:pt idx="2">
                  <c:v>5000</c:v>
                </c:pt>
                <c:pt idx="3">
                  <c:v>8000</c:v>
                </c:pt>
                <c:pt idx="4">
                  <c:v>12500</c:v>
                </c:pt>
                <c:pt idx="5">
                  <c:v>17500</c:v>
                </c:pt>
                <c:pt idx="6">
                  <c:v>24000</c:v>
                </c:pt>
                <c:pt idx="7">
                  <c:v>30500</c:v>
                </c:pt>
                <c:pt idx="8">
                  <c:v>37500</c:v>
                </c:pt>
                <c:pt idx="9">
                  <c:v>47000</c:v>
                </c:pt>
                <c:pt idx="10">
                  <c:v>56000</c:v>
                </c:pt>
                <c:pt idx="11">
                  <c:v>68500</c:v>
                </c:pt>
              </c:numCache>
            </c:numRef>
          </c:cat>
          <c:val>
            <c:numRef>
              <c:f>'Исходные данные+сравнение мод-й'!$J$2:$J$13</c:f>
              <c:numCache>
                <c:formatCode>General</c:formatCode>
                <c:ptCount val="12"/>
                <c:pt idx="0">
                  <c:v>2.5000000000000001E-3</c:v>
                </c:pt>
                <c:pt idx="1">
                  <c:v>8.0000000000000002E-3</c:v>
                </c:pt>
                <c:pt idx="2">
                  <c:v>1.7000000000000001E-2</c:v>
                </c:pt>
                <c:pt idx="3">
                  <c:v>2.0750000000000001E-2</c:v>
                </c:pt>
                <c:pt idx="4">
                  <c:v>2.7799999999999998E-2</c:v>
                </c:pt>
                <c:pt idx="5">
                  <c:v>2.18E-2</c:v>
                </c:pt>
                <c:pt idx="6">
                  <c:v>1.5125E-2</c:v>
                </c:pt>
                <c:pt idx="7">
                  <c:v>1.2800000000000001E-2</c:v>
                </c:pt>
                <c:pt idx="8">
                  <c:v>9.4444444444444445E-3</c:v>
                </c:pt>
                <c:pt idx="9">
                  <c:v>7.6E-3</c:v>
                </c:pt>
                <c:pt idx="10">
                  <c:v>4.1250000000000002E-3</c:v>
                </c:pt>
                <c:pt idx="11">
                  <c:v>3.9411764705882353E-3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25"/>
        <c:axId val="164395648"/>
        <c:axId val="164414208"/>
      </c:barChart>
      <c:catAx>
        <c:axId val="164395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Численность населения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414208"/>
        <c:crosses val="autoZero"/>
        <c:auto val="1"/>
        <c:lblAlgn val="ctr"/>
        <c:lblOffset val="100"/>
        <c:noMultiLvlLbl val="0"/>
      </c:catAx>
      <c:valAx>
        <c:axId val="16441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Плотность распределения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395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Лист4!$B$23</c:f>
              <c:strCache>
                <c:ptCount val="1"/>
                <c:pt idx="0">
                  <c:v>2012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Лист4!$A$24:$A$31</c:f>
              <c:strCache>
                <c:ptCount val="8"/>
                <c:pt idx="0">
                  <c:v>10000 - 13500</c:v>
                </c:pt>
                <c:pt idx="1">
                  <c:v>13500 - 17000</c:v>
                </c:pt>
                <c:pt idx="2">
                  <c:v>17000 - 20500</c:v>
                </c:pt>
                <c:pt idx="3">
                  <c:v>20500 - 24000</c:v>
                </c:pt>
                <c:pt idx="4">
                  <c:v>24000 - 27500</c:v>
                </c:pt>
                <c:pt idx="5">
                  <c:v>27500 - 31000</c:v>
                </c:pt>
                <c:pt idx="6">
                  <c:v>31000 - 34500</c:v>
                </c:pt>
                <c:pt idx="7">
                  <c:v>Свыше </c:v>
                </c:pt>
              </c:strCache>
            </c:strRef>
          </c:cat>
          <c:val>
            <c:numRef>
              <c:f>Лист4!$B$24:$B$31</c:f>
              <c:numCache>
                <c:formatCode>General</c:formatCode>
                <c:ptCount val="8"/>
                <c:pt idx="0">
                  <c:v>6</c:v>
                </c:pt>
                <c:pt idx="1">
                  <c:v>21</c:v>
                </c:pt>
                <c:pt idx="2">
                  <c:v>26</c:v>
                </c:pt>
                <c:pt idx="3">
                  <c:v>12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-100"/>
        <c:axId val="165942016"/>
        <c:axId val="165944704"/>
      </c:barChart>
      <c:catAx>
        <c:axId val="16594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944704"/>
        <c:crosses val="autoZero"/>
        <c:auto val="1"/>
        <c:lblAlgn val="ctr"/>
        <c:lblOffset val="100"/>
        <c:noMultiLvlLbl val="0"/>
      </c:catAx>
      <c:valAx>
        <c:axId val="165944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594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9358705161854772E-2"/>
          <c:y val="0.18560185185185185"/>
          <c:w val="0.90286351706036749"/>
          <c:h val="0.56412766112569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Лист4!$A$23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Лист4!$A$24</c:f>
              <c:strCache>
                <c:ptCount val="1"/>
                <c:pt idx="0">
                  <c:v>10000 - 13500</c:v>
                </c:pt>
              </c:strCache>
            </c:strRef>
          </c:cat>
          <c:val>
            <c:numRef>
              <c:f>Лист4!$A$24:$A$31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100"/>
        <c:axId val="165986304"/>
        <c:axId val="165987840"/>
      </c:barChart>
      <c:barChart>
        <c:barDir val="col"/>
        <c:grouping val="clustered"/>
        <c:varyColors val="0"/>
        <c:ser>
          <c:idx val="1"/>
          <c:order val="1"/>
          <c:tx>
            <c:strRef>
              <c:f>Лист4!$C$23</c:f>
              <c:strCache>
                <c:ptCount val="1"/>
                <c:pt idx="0">
                  <c:v>2013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Лист4!$A$24</c:f>
              <c:strCache>
                <c:ptCount val="1"/>
                <c:pt idx="0">
                  <c:v>10000 - 13500</c:v>
                </c:pt>
              </c:strCache>
            </c:strRef>
          </c:cat>
          <c:val>
            <c:numRef>
              <c:f>Лист4!$C$24:$C$31</c:f>
              <c:numCache>
                <c:formatCode>General</c:formatCode>
                <c:ptCount val="8"/>
                <c:pt idx="0">
                  <c:v>2</c:v>
                </c:pt>
                <c:pt idx="1">
                  <c:v>9</c:v>
                </c:pt>
                <c:pt idx="2">
                  <c:v>25</c:v>
                </c:pt>
                <c:pt idx="3">
                  <c:v>22</c:v>
                </c:pt>
                <c:pt idx="4">
                  <c:v>9</c:v>
                </c:pt>
                <c:pt idx="5">
                  <c:v>2</c:v>
                </c:pt>
                <c:pt idx="6">
                  <c:v>5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-100"/>
        <c:axId val="165991168"/>
        <c:axId val="165989376"/>
      </c:barChart>
      <c:catAx>
        <c:axId val="16598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987840"/>
        <c:crosses val="autoZero"/>
        <c:auto val="1"/>
        <c:lblAlgn val="ctr"/>
        <c:lblOffset val="100"/>
        <c:noMultiLvlLbl val="0"/>
      </c:catAx>
      <c:valAx>
        <c:axId val="16598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986304"/>
        <c:crosses val="autoZero"/>
        <c:crossBetween val="between"/>
      </c:valAx>
      <c:valAx>
        <c:axId val="16598937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991168"/>
        <c:crosses val="max"/>
        <c:crossBetween val="between"/>
      </c:valAx>
      <c:catAx>
        <c:axId val="165991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59893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Zavarina</dc:creator>
  <cp:lastModifiedBy>Емельянова Ольга Юрьевна</cp:lastModifiedBy>
  <cp:revision>3</cp:revision>
  <dcterms:created xsi:type="dcterms:W3CDTF">2015-02-11T12:16:00Z</dcterms:created>
  <dcterms:modified xsi:type="dcterms:W3CDTF">2015-02-11T12:16:00Z</dcterms:modified>
</cp:coreProperties>
</file>