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7" w:rsidRDefault="0021766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margin-left:29.7pt;margin-top:1.05pt;width:408pt;height:14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" fillcolor="white [3201]" stroked="f">
            <v:fill opacity="0"/>
            <v:shadow on="t" type="perspective" color="black" opacity="655f" origin="-.5,-.5" offset=".74836mm,.74836mm" matrix="97649f,,,97649f"/>
            <v:textbox>
              <w:txbxContent>
                <w:p w:rsidR="00655D80" w:rsidRDefault="00655D80" w:rsidP="00D84A85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31849B" w:themeColor="accent5" w:themeShade="BF"/>
                      <w:sz w:val="36"/>
                      <w:szCs w:val="36"/>
                    </w:rPr>
                    <w:t xml:space="preserve">СТАТИСТИЧЕСКИЙ БЮЛЛЕТЕНЬ РОССТАТА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31849B" w:themeColor="accent5" w:themeShade="BF"/>
                      <w:sz w:val="36"/>
                      <w:szCs w:val="36"/>
                    </w:rPr>
                    <w:br/>
                    <w:t>К ВСЕМИРНОМУ ДНЮ ТУРИЗМА - 2021</w:t>
                  </w:r>
                </w:p>
              </w:txbxContent>
            </v:textbox>
          </v:shape>
        </w:pict>
      </w:r>
      <w:r w:rsidR="00994A1C">
        <w:rPr>
          <w:noProof/>
          <w:lang w:eastAsia="ru-RU"/>
        </w:rPr>
        <w:drawing>
          <wp:inline distT="0" distB="0" distL="0" distR="0">
            <wp:extent cx="5940425" cy="88874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57" w:rsidRDefault="00877B57">
      <w:r>
        <w:br w:type="page"/>
      </w:r>
    </w:p>
    <w:tbl>
      <w:tblPr>
        <w:tblpPr w:leftFromText="180" w:rightFromText="180" w:vertAnchor="page" w:horzAnchor="margin" w:tblpXSpec="center" w:tblpY="421"/>
        <w:tblW w:w="10160" w:type="dxa"/>
        <w:tblLook w:val="04A0"/>
      </w:tblPr>
      <w:tblGrid>
        <w:gridCol w:w="7416"/>
        <w:gridCol w:w="1372"/>
        <w:gridCol w:w="1372"/>
      </w:tblGrid>
      <w:tr w:rsidR="00877B57" w:rsidRPr="00877B57" w:rsidTr="00877B57">
        <w:trPr>
          <w:trHeight w:val="79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C33"/>
            <w:r w:rsidRPr="0087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Статистический бюллетень Росстата к Всемирному дню туризма - 2021</w:t>
            </w:r>
            <w:bookmarkEnd w:id="0"/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450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Туризм в мировой экономике</w:t>
            </w:r>
            <w:proofErr w:type="gramStart"/>
            <w:r w:rsidRPr="0087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87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877B57" w:rsidRPr="00877B57" w:rsidTr="00877B57">
        <w:trPr>
          <w:trHeight w:val="390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7B57" w:rsidRPr="00877B57" w:rsidTr="00876E01">
        <w:trPr>
          <w:trHeight w:val="420"/>
        </w:trPr>
        <w:tc>
          <w:tcPr>
            <w:tcW w:w="7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2019 г.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 г.</w:t>
            </w:r>
          </w:p>
        </w:tc>
      </w:tr>
      <w:tr w:rsidR="00877B57" w:rsidRPr="00877B57" w:rsidTr="00D37DA5">
        <w:trPr>
          <w:trHeight w:val="630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Мировой ВВП сектора туризма и путешествий,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877B57" w:rsidRPr="00877B57" w:rsidTr="00D37DA5">
        <w:trPr>
          <w:trHeight w:val="420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Мировой ВВП,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877B57" w:rsidRPr="00877B57" w:rsidTr="00D37DA5">
        <w:trPr>
          <w:trHeight w:val="420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Вклад туризма в мировой ВВП,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трлн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долл. США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877B57" w:rsidRPr="00877B57" w:rsidTr="00D37DA5">
        <w:trPr>
          <w:trHeight w:val="375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мирового ВВП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5,5</w:t>
            </w:r>
          </w:p>
        </w:tc>
      </w:tr>
      <w:tr w:rsidR="00877B57" w:rsidRPr="00877B57" w:rsidTr="00D37DA5">
        <w:trPr>
          <w:trHeight w:val="420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рабочих мест в сфере туризма, 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</w:tr>
      <w:tr w:rsidR="00877B57" w:rsidRPr="00877B57" w:rsidTr="00D37DA5">
        <w:trPr>
          <w:trHeight w:val="375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общего числа рабочих мест в мире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8,9</w:t>
            </w:r>
          </w:p>
        </w:tc>
      </w:tr>
      <w:tr w:rsidR="00877B57" w:rsidRPr="00877B57" w:rsidTr="00D37DA5">
        <w:trPr>
          <w:trHeight w:val="390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Инвестиции в основной капитал в сфере туризма, 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млрд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долл. США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693,2</w:t>
            </w:r>
          </w:p>
        </w:tc>
      </w:tr>
      <w:tr w:rsidR="00877B57" w:rsidRPr="00877B57" w:rsidTr="00D37DA5">
        <w:trPr>
          <w:trHeight w:val="375"/>
        </w:trPr>
        <w:tc>
          <w:tcPr>
            <w:tcW w:w="7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от общего объема инвестиций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57" w:rsidRPr="00D37DA5" w:rsidRDefault="00877B57" w:rsidP="00D37DA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3,2</w:t>
            </w: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57" w:rsidRPr="00B923E5" w:rsidRDefault="00B923E5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20320</wp:posOffset>
                  </wp:positionV>
                  <wp:extent cx="6448425" cy="3724275"/>
                  <wp:effectExtent l="0" t="0" r="9525" b="9525"/>
                  <wp:wrapNone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B923E5" w:rsidRPr="00B923E5" w:rsidTr="00BB5996">
              <w:trPr>
                <w:trHeight w:val="315"/>
                <w:tblCellSpacing w:w="0" w:type="dxa"/>
              </w:trPr>
              <w:tc>
                <w:tcPr>
                  <w:tcW w:w="7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7B57" w:rsidRPr="00B923E5" w:rsidRDefault="00877B57" w:rsidP="00152C77">
                  <w:pPr>
                    <w:framePr w:hSpace="180" w:wrap="around" w:vAnchor="page" w:hAnchor="margin" w:xAlign="center" w:y="42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2019 г.</w:t>
            </w: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103,5</w:t>
            </w: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102,5</w:t>
            </w: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1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37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7B57" w:rsidRPr="00877B57" w:rsidTr="00877B57">
        <w:trPr>
          <w:trHeight w:val="64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2020</w:t>
            </w:r>
          </w:p>
        </w:tc>
      </w:tr>
      <w:tr w:rsidR="00877B57" w:rsidRPr="00877B57" w:rsidTr="00877B57">
        <w:trPr>
          <w:trHeight w:val="40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5,5</w:t>
            </w:r>
          </w:p>
        </w:tc>
      </w:tr>
      <w:tr w:rsidR="00877B57" w:rsidRPr="00877B57" w:rsidTr="00877B57">
        <w:trPr>
          <w:trHeight w:val="405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8,9</w:t>
            </w:r>
          </w:p>
        </w:tc>
      </w:tr>
      <w:tr w:rsidR="00877B57" w:rsidRPr="00877B57" w:rsidTr="00877B57">
        <w:trPr>
          <w:trHeight w:val="720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B923E5" w:rsidRDefault="00877B57" w:rsidP="00877B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57" w:rsidRPr="00877B57" w:rsidRDefault="00877B57" w:rsidP="00877B57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3,2</w:t>
            </w:r>
          </w:p>
        </w:tc>
      </w:tr>
      <w:tr w:rsidR="00877B57" w:rsidRPr="00877B57" w:rsidTr="00877B57">
        <w:trPr>
          <w:trHeight w:val="675"/>
        </w:trPr>
        <w:tc>
          <w:tcPr>
            <w:tcW w:w="10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57" w:rsidRPr="00877B57" w:rsidRDefault="00877B57" w:rsidP="008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1) </w:t>
            </w:r>
            <w:r w:rsidRPr="008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ежегодного исследования Всемирного совета по туризму </w:t>
            </w:r>
            <w:r w:rsidRPr="008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путешествиям (WTTC) с участием экспертов </w:t>
            </w:r>
            <w:proofErr w:type="spellStart"/>
            <w:r w:rsidRPr="008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Oxford</w:t>
            </w:r>
            <w:proofErr w:type="spellEnd"/>
            <w:r w:rsidRPr="008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8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2020 год.</w:t>
            </w:r>
          </w:p>
        </w:tc>
      </w:tr>
    </w:tbl>
    <w:p w:rsidR="009820F1" w:rsidRDefault="009820F1"/>
    <w:p w:rsidR="009820F1" w:rsidRDefault="009820F1">
      <w:r>
        <w:br w:type="page"/>
      </w:r>
    </w:p>
    <w:p w:rsidR="009820F1" w:rsidRDefault="009820F1">
      <w:pPr>
        <w:sectPr w:rsidR="00982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1"/>
        <w:tblW w:w="14992" w:type="dxa"/>
        <w:tblLook w:val="04A0"/>
      </w:tblPr>
      <w:tblGrid>
        <w:gridCol w:w="8773"/>
        <w:gridCol w:w="2108"/>
        <w:gridCol w:w="2127"/>
        <w:gridCol w:w="1984"/>
      </w:tblGrid>
      <w:tr w:rsidR="000F45ED" w:rsidRPr="009820F1" w:rsidTr="000F45ED">
        <w:trPr>
          <w:trHeight w:val="540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bookmarkStart w:id="2" w:name="RANGE!A1:D22"/>
            <w:r w:rsidRPr="0098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Вклад туризма в экономику России в 2018-2020 гг.</w:t>
            </w:r>
            <w:bookmarkEnd w:id="2"/>
          </w:p>
        </w:tc>
      </w:tr>
      <w:tr w:rsidR="000F45ED" w:rsidRPr="009820F1" w:rsidTr="000F45ED">
        <w:trPr>
          <w:trHeight w:val="330"/>
        </w:trPr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45ED" w:rsidRPr="009820F1" w:rsidTr="00876E01">
        <w:trPr>
          <w:trHeight w:val="450"/>
        </w:trPr>
        <w:tc>
          <w:tcPr>
            <w:tcW w:w="8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2018 г.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2020 г.</w:t>
            </w:r>
          </w:p>
        </w:tc>
      </w:tr>
      <w:tr w:rsidR="000F45ED" w:rsidRPr="009820F1" w:rsidTr="000F45ED">
        <w:trPr>
          <w:trHeight w:val="690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Доля валовой добавленной стоимости туристской индустрии в валовом внутреннем продукте Российской Федерации, %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F45ED" w:rsidRPr="009820F1" w:rsidTr="000F45ED">
        <w:trPr>
          <w:trHeight w:val="630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услуг туристических агентств, туроператоров и прочих услуг </w:t>
            </w: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 бронированию и сопутствующих им услуг,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млрд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руб.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91,9</w:t>
            </w:r>
          </w:p>
        </w:tc>
      </w:tr>
      <w:tr w:rsidR="000F45ED" w:rsidRPr="009820F1" w:rsidTr="000F45ED">
        <w:trPr>
          <w:trHeight w:val="31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% от общего объема платных услуг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</w:tr>
      <w:tr w:rsidR="000F45ED" w:rsidRPr="009820F1" w:rsidTr="000F45ED">
        <w:trPr>
          <w:trHeight w:val="31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услуг санаторно-курортных организаций,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млрд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руб.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85,5</w:t>
            </w:r>
          </w:p>
        </w:tc>
      </w:tr>
      <w:tr w:rsidR="000F45ED" w:rsidRPr="009820F1" w:rsidTr="000F45ED">
        <w:trPr>
          <w:trHeight w:val="31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% от общего объема платных услуг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</w:t>
            </w:r>
          </w:p>
        </w:tc>
      </w:tr>
      <w:tr w:rsidR="000F45ED" w:rsidRPr="009820F1" w:rsidTr="000F45ED">
        <w:trPr>
          <w:trHeight w:val="630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услуг гостиниц и аналогичных услуг по предоставлению временного жилья,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млрд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руб.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181,6</w:t>
            </w:r>
          </w:p>
        </w:tc>
      </w:tr>
      <w:tr w:rsidR="000F45ED" w:rsidRPr="009820F1" w:rsidTr="000F45ED">
        <w:trPr>
          <w:trHeight w:val="31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% от общего объема платных услуг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</w:t>
            </w:r>
          </w:p>
        </w:tc>
      </w:tr>
      <w:tr w:rsidR="000F45ED" w:rsidRPr="009820F1" w:rsidTr="000F45ED">
        <w:trPr>
          <w:trHeight w:val="37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Экспорт услуг по статье «Поездки»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млрд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долл. США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2,9</w:t>
            </w:r>
          </w:p>
        </w:tc>
      </w:tr>
      <w:tr w:rsidR="000F45ED" w:rsidRPr="009820F1" w:rsidTr="000F45ED">
        <w:trPr>
          <w:trHeight w:val="31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% от общего объема экспорта услуг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6,1</w:t>
            </w:r>
          </w:p>
        </w:tc>
      </w:tr>
      <w:tr w:rsidR="000F45ED" w:rsidRPr="009820F1" w:rsidTr="000F45ED">
        <w:trPr>
          <w:trHeight w:val="37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Инвестиции в основной капитал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2)3)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млрд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руб.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343,4</w:t>
            </w:r>
          </w:p>
        </w:tc>
      </w:tr>
      <w:tr w:rsidR="000F45ED" w:rsidRPr="009820F1" w:rsidTr="000F45ED">
        <w:trPr>
          <w:trHeight w:val="31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от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общего объема инвестиций по всем видам деятельности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</w:t>
            </w:r>
          </w:p>
        </w:tc>
      </w:tr>
      <w:tr w:rsidR="000F45ED" w:rsidRPr="009820F1" w:rsidTr="000F45ED">
        <w:trPr>
          <w:trHeight w:val="37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Средняя численность работников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)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чел.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1 166 350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1 179 697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1 146 426</w:t>
            </w:r>
          </w:p>
        </w:tc>
      </w:tr>
      <w:tr w:rsidR="000F45ED" w:rsidRPr="009820F1" w:rsidTr="000F45ED">
        <w:trPr>
          <w:trHeight w:val="330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от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средней численности работников по всем видам деятельности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3,4</w:t>
            </w:r>
          </w:p>
        </w:tc>
      </w:tr>
      <w:tr w:rsidR="000F45ED" w:rsidRPr="009820F1" w:rsidTr="000F45ED">
        <w:trPr>
          <w:trHeight w:val="37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Среднемесячная начисленная заработная плата работников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)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руб.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51 580,0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54 185,4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52 984,9</w:t>
            </w:r>
          </w:p>
        </w:tc>
      </w:tr>
      <w:tr w:rsidR="000F45ED" w:rsidRPr="009820F1" w:rsidTr="000F45ED">
        <w:trPr>
          <w:trHeight w:val="645"/>
        </w:trPr>
        <w:tc>
          <w:tcPr>
            <w:tcW w:w="8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5ED" w:rsidRPr="009820F1" w:rsidRDefault="000F45ED" w:rsidP="000F45E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среднемесячной начисленной заработной плате работников </w:t>
            </w: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по всем видам деятельности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103,4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5ED" w:rsidRPr="009820F1" w:rsidRDefault="000F45ED" w:rsidP="000F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91,4</w:t>
            </w:r>
          </w:p>
        </w:tc>
      </w:tr>
      <w:tr w:rsidR="000F45ED" w:rsidRPr="009820F1" w:rsidTr="00D37DA5">
        <w:trPr>
          <w:trHeight w:val="375"/>
        </w:trPr>
        <w:tc>
          <w:tcPr>
            <w:tcW w:w="14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5ED" w:rsidRPr="009820F1" w:rsidRDefault="000F45ED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данным платежного баланса Банка России.</w:t>
            </w:r>
          </w:p>
        </w:tc>
      </w:tr>
      <w:tr w:rsidR="000F45ED" w:rsidRPr="009820F1" w:rsidTr="00D37DA5">
        <w:trPr>
          <w:trHeight w:val="401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5ED" w:rsidRPr="009820F1" w:rsidRDefault="000F45ED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2)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собирательной группировке "Туризм" на основе ОКВЭД</w:t>
            </w:r>
            <w:proofErr w:type="gramStart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proofErr w:type="gramEnd"/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0F45ED" w:rsidRPr="009820F1" w:rsidTr="00D37DA5">
        <w:trPr>
          <w:trHeight w:val="360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5ED" w:rsidRPr="009820F1" w:rsidRDefault="000F45ED" w:rsidP="00D3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3)</w:t>
            </w:r>
            <w:r w:rsidRPr="009820F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Без субъектов малого предпринимательства</w:t>
            </w:r>
          </w:p>
        </w:tc>
      </w:tr>
    </w:tbl>
    <w:p w:rsidR="009820F1" w:rsidRDefault="009820F1"/>
    <w:p w:rsidR="009820F1" w:rsidRDefault="009820F1">
      <w:r>
        <w:br w:type="page"/>
      </w:r>
    </w:p>
    <w:tbl>
      <w:tblPr>
        <w:tblpPr w:leftFromText="180" w:rightFromText="180" w:vertAnchor="page" w:horzAnchor="margin" w:tblpY="256"/>
        <w:tblW w:w="14960" w:type="dxa"/>
        <w:tblLook w:val="04A0"/>
      </w:tblPr>
      <w:tblGrid>
        <w:gridCol w:w="7040"/>
        <w:gridCol w:w="1980"/>
        <w:gridCol w:w="1980"/>
        <w:gridCol w:w="1980"/>
        <w:gridCol w:w="1980"/>
      </w:tblGrid>
      <w:tr w:rsidR="00E37F8B" w:rsidRPr="00E37F8B" w:rsidTr="00E37F8B">
        <w:trPr>
          <w:trHeight w:val="540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E37F8B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Туризм в России в I и II кварталах 2021 года</w:t>
            </w:r>
          </w:p>
        </w:tc>
      </w:tr>
      <w:tr w:rsidR="00E37F8B" w:rsidRPr="00E37F8B" w:rsidTr="00E37F8B">
        <w:trPr>
          <w:trHeight w:val="33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E37F8B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E37F8B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E37F8B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E37F8B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E37F8B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F8B" w:rsidRPr="00E37F8B" w:rsidTr="00876E01">
        <w:trPr>
          <w:trHeight w:val="1395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F8B" w:rsidRPr="00E27EB3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 квартал 2021 г.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F8B" w:rsidRPr="00E27EB3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II квартал 2021 г.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F8B" w:rsidRPr="00E27EB3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Прирост </w:t>
            </w: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I квартал 2021 г.</w:t>
            </w: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к I кварталу </w:t>
            </w: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2020 г., </w:t>
            </w:r>
            <w:proofErr w:type="gramStart"/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7F8B" w:rsidRPr="00E27EB3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Прирост </w:t>
            </w: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II квартал 2021 г.</w:t>
            </w: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к II кварталу </w:t>
            </w:r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2020 г., </w:t>
            </w:r>
            <w:proofErr w:type="gramStart"/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27E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</w:t>
            </w:r>
          </w:p>
        </w:tc>
      </w:tr>
      <w:tr w:rsidR="00E37F8B" w:rsidRPr="00E37F8B" w:rsidTr="00E37F8B">
        <w:trPr>
          <w:trHeight w:val="392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лиц, размещенных  в коллективных средствах размещения, тыс.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11 128,4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15 220,0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-12,5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626,5</w:t>
            </w:r>
          </w:p>
        </w:tc>
      </w:tr>
      <w:tr w:rsidR="00E37F8B" w:rsidRPr="00E37F8B" w:rsidTr="00E37F8B">
        <w:trPr>
          <w:trHeight w:val="352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граждан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10 668,8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14 639,6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648,5</w:t>
            </w:r>
          </w:p>
        </w:tc>
      </w:tr>
      <w:tr w:rsidR="00E37F8B" w:rsidRPr="00E37F8B" w:rsidTr="00E37F8B">
        <w:trPr>
          <w:trHeight w:val="288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459,6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580,4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-66,2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317,7</w:t>
            </w:r>
          </w:p>
        </w:tc>
      </w:tr>
      <w:tr w:rsidR="00E37F8B" w:rsidRPr="00E37F8B" w:rsidTr="003D313E">
        <w:trPr>
          <w:trHeight w:val="335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ночевок в коллективных средствах размещения, тыс.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37 589,2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64 269,2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571,7</w:t>
            </w:r>
          </w:p>
        </w:tc>
      </w:tr>
      <w:tr w:rsidR="00E37F8B" w:rsidRPr="00E37F8B" w:rsidTr="00E37F8B">
        <w:trPr>
          <w:trHeight w:val="452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коллективных средств размещения от предоставляемых услуг (без НДС, акцизов и аналогичных платежей),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90 212,9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144 269,5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780,6</w:t>
            </w:r>
          </w:p>
        </w:tc>
      </w:tr>
      <w:tr w:rsidR="00E37F8B" w:rsidRPr="00E37F8B" w:rsidTr="00E37F8B">
        <w:trPr>
          <w:trHeight w:val="330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въездных туристских поездок, тыс.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1 163,5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1 653,7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-69,4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2 385,6</w:t>
            </w:r>
          </w:p>
        </w:tc>
      </w:tr>
      <w:tr w:rsidR="00E37F8B" w:rsidRPr="00E37F8B" w:rsidTr="00E37F8B">
        <w:trPr>
          <w:trHeight w:val="330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выездных туристских поездок, тыс.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2 252,4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3 601,3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-67,8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3 001,1</w:t>
            </w:r>
          </w:p>
        </w:tc>
      </w:tr>
      <w:tr w:rsidR="00E37F8B" w:rsidRPr="00E37F8B" w:rsidTr="00E37F8B">
        <w:trPr>
          <w:trHeight w:val="330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Пассажирооборот,  </w:t>
            </w:r>
            <w:proofErr w:type="spellStart"/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млрд</w:t>
            </w:r>
            <w:proofErr w:type="spellEnd"/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пасс.км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73,9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107,2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-33,6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253,5</w:t>
            </w:r>
          </w:p>
        </w:tc>
      </w:tr>
      <w:tr w:rsidR="00E37F8B" w:rsidRPr="00E37F8B" w:rsidTr="00E37F8B">
        <w:trPr>
          <w:trHeight w:val="615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 видам транспорта: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</w:t>
            </w:r>
            <w:r w:rsidR="00DB0B50" w:rsidRPr="00DB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18,7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27,6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-23,3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190,1</w:t>
            </w:r>
          </w:p>
        </w:tc>
      </w:tr>
      <w:tr w:rsidR="00E37F8B" w:rsidRPr="00E37F8B" w:rsidTr="00E37F8B">
        <w:trPr>
          <w:trHeight w:val="375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(транспортная авиация)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34,6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56,5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-43,5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528,3</w:t>
            </w:r>
          </w:p>
        </w:tc>
      </w:tr>
      <w:tr w:rsidR="00E37F8B" w:rsidRPr="00E37F8B" w:rsidTr="00E37F8B">
        <w:trPr>
          <w:trHeight w:val="434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 xml:space="preserve">Объем услуг туристических агентств, туроператоров и прочих услуг по бронированию и сопутствующих им услуг,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 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21,0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30,0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-37,7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669,2</w:t>
            </w:r>
          </w:p>
        </w:tc>
      </w:tr>
      <w:tr w:rsidR="00E37F8B" w:rsidRPr="00E37F8B" w:rsidTr="00E37F8B">
        <w:trPr>
          <w:trHeight w:val="256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 xml:space="preserve">Объем услуг санаторно-курортных организаций,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 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19,9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34,2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-12,3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1 079,3</w:t>
            </w:r>
          </w:p>
        </w:tc>
      </w:tr>
      <w:tr w:rsidR="00E37F8B" w:rsidRPr="00E37F8B" w:rsidTr="00E37F8B">
        <w:trPr>
          <w:trHeight w:val="558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 xml:space="preserve">Объем услуг гостиниц и аналогичных услуг по предоставлению временного жилья,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 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54,5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70,7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548,6</w:t>
            </w:r>
          </w:p>
        </w:tc>
      </w:tr>
      <w:tr w:rsidR="00E37F8B" w:rsidRPr="00E37F8B" w:rsidTr="00E37F8B">
        <w:trPr>
          <w:trHeight w:val="360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услуг по статье «Поездки»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2)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млрд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долл. 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0,4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0,6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E37F8B" w:rsidRPr="00E37F8B" w:rsidTr="00E37F8B">
        <w:trPr>
          <w:trHeight w:val="219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от общего объема экспорта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8B" w:rsidRPr="00E37F8B" w:rsidTr="00E37F8B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1) 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данным </w:t>
            </w:r>
            <w:proofErr w:type="spell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Росавиации</w:t>
            </w:r>
            <w:proofErr w:type="spell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</w:p>
        </w:tc>
      </w:tr>
      <w:tr w:rsidR="00E37F8B" w:rsidRPr="00E37F8B" w:rsidTr="00E37F8B">
        <w:trPr>
          <w:trHeight w:val="375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2)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данным платежного баланса Банка России (оценка II квартала 2021 года).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8B" w:rsidRPr="00D37DA5" w:rsidRDefault="00E37F8B" w:rsidP="00E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8B" w:rsidRPr="00D37DA5" w:rsidRDefault="00E37F8B" w:rsidP="00E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23D8" w:rsidRDefault="004523D8"/>
    <w:p w:rsidR="004523D8" w:rsidRDefault="004523D8">
      <w:r>
        <w:br w:type="page"/>
      </w:r>
    </w:p>
    <w:p w:rsidR="00EB5FCC" w:rsidRDefault="00EB5FCC">
      <w:pPr>
        <w:sectPr w:rsidR="00EB5FCC" w:rsidSect="009820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35D6" w:rsidRDefault="00BB5996">
      <w:r>
        <w:rPr>
          <w:noProof/>
          <w:lang w:eastAsia="ru-RU"/>
        </w:rPr>
        <w:lastRenderedPageBreak/>
        <w:drawing>
          <wp:inline distT="0" distB="0" distL="0" distR="0">
            <wp:extent cx="9505950" cy="5524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35D6" w:rsidRDefault="003635D6">
      <w:r>
        <w:br w:type="page"/>
      </w:r>
    </w:p>
    <w:p w:rsidR="003635D6" w:rsidRDefault="003635D6">
      <w:pPr>
        <w:sectPr w:rsidR="003635D6" w:rsidSect="00BB59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122"/>
        <w:gridCol w:w="2086"/>
        <w:gridCol w:w="893"/>
        <w:gridCol w:w="1287"/>
        <w:gridCol w:w="1693"/>
        <w:gridCol w:w="2274"/>
        <w:gridCol w:w="706"/>
        <w:gridCol w:w="2980"/>
      </w:tblGrid>
      <w:tr w:rsidR="007F1ACD" w:rsidRPr="007F1ACD" w:rsidTr="00F62A10">
        <w:trPr>
          <w:trHeight w:val="78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ACD" w:rsidRPr="007F1ACD" w:rsidRDefault="007F1ACD" w:rsidP="007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Численность лиц, размещенных в коллективных средствах размещения </w:t>
            </w:r>
            <w:r w:rsidRPr="007F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России и странах Европы в I и II кварталах 2021 года</w:t>
            </w:r>
          </w:p>
        </w:tc>
      </w:tr>
      <w:tr w:rsidR="007F1ACD" w:rsidRPr="00D37DA5" w:rsidTr="00F62A10">
        <w:trPr>
          <w:trHeight w:val="33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CD" w:rsidRPr="007F1ACD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CD" w:rsidRPr="007F1ACD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CD" w:rsidRPr="007F1ACD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CD" w:rsidRPr="007F1ACD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</w:tr>
      <w:tr w:rsidR="007F1ACD" w:rsidRPr="007F1ACD" w:rsidTr="00876E01">
        <w:trPr>
          <w:trHeight w:val="975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F1ACD" w:rsidRPr="00D37DA5" w:rsidRDefault="007F1ACD" w:rsidP="007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 квартал 2021 г.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F1ACD" w:rsidRPr="00D37DA5" w:rsidRDefault="007F1ACD" w:rsidP="007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 квартал 2021 г.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1ACD" w:rsidRPr="00D37DA5" w:rsidRDefault="007F1ACD" w:rsidP="007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Прирост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I квартал 2021 г. 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к I кварталу 2020 г.,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7F1ACD" w:rsidRPr="00D37DA5" w:rsidRDefault="007F1ACD" w:rsidP="007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Прирост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II квартал 2021 г. 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к II кварталу 2020 г.,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11 128,4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15 220,0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-12,5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626,5</w:t>
            </w:r>
          </w:p>
        </w:tc>
      </w:tr>
      <w:tr w:rsidR="007F1ACD" w:rsidRPr="007F1ACD" w:rsidTr="00F62A10">
        <w:trPr>
          <w:trHeight w:val="37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страны Европы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1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)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524,1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3 014,6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-93,7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Бельгия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768,1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1 395,1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-70,2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Болгария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562,4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187,8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886,6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-89,7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Германия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4 889,7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14 526,9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-81,8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Греция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2 082,3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389,1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768,5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-71,2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Исландия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464,3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-81,1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Испания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4 847,1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14 684,8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-71,8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768,6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3 683,9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13 529,5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-70,3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Кипр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-63,2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Латвия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-59,0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207,0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-76,2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-26,3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Лихтенштейн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-42,0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Люксембург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193,1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-38,3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218,1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-73,2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Нидерланды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2 664,7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7 987,1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-61,2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Норвегия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983,9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1 870,9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-62,1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1 562,6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3 733,2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-71,9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7F1ACD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Португалия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782,0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2 942,8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-78,3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CD" w:rsidRPr="00D37DA5" w:rsidRDefault="007F1ACD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297,7</w:t>
            </w:r>
          </w:p>
        </w:tc>
      </w:tr>
      <w:tr w:rsidR="00863C03" w:rsidRPr="00D37DA5" w:rsidTr="00F62A10">
        <w:trPr>
          <w:trHeight w:val="33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C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C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C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C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C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</w:tr>
      <w:tr w:rsidR="00863C03" w:rsidRPr="007F1ACD" w:rsidTr="00876E01">
        <w:trPr>
          <w:trHeight w:val="975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3C03" w:rsidRPr="00D37DA5" w:rsidRDefault="00863C03" w:rsidP="007C6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63C03" w:rsidRPr="00D37DA5" w:rsidRDefault="00863C03" w:rsidP="007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 квартал 2021 г.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63C03" w:rsidRPr="00D37DA5" w:rsidRDefault="00863C03" w:rsidP="007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 квартал 2021 г.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3C03" w:rsidRPr="00D37DA5" w:rsidRDefault="00863C03" w:rsidP="007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Прирост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I квартал 2021 г. 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к I кварталу 2020 г.,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63C03" w:rsidRPr="00D37DA5" w:rsidRDefault="00863C03" w:rsidP="007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Прирост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II квартал 2021 г. </w:t>
            </w: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к II кварталу 2020 г.,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</w:t>
            </w:r>
          </w:p>
        </w:tc>
      </w:tr>
      <w:tr w:rsidR="00863C03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Румыния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1 410,5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1 863,1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-7,2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383,4</w:t>
            </w:r>
          </w:p>
        </w:tc>
      </w:tr>
      <w:tr w:rsidR="00863C03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Словакия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443,8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-90,4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863C03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Словения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516,1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-90,6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863C03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Финляндия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1 036,2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1 671,1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-52,9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863C03" w:rsidRPr="007F1ACD" w:rsidTr="00F62A1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Хорватия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324,3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1 996,8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-46,2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863C03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Чехия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281,9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1 568,5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-91,1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863C03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Швейцария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2 044,9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2 591,9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863C03" w:rsidRPr="007F1ACD" w:rsidTr="00F62A10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Швеция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2 436,4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2 455,5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-47,3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-18,5</w:t>
            </w:r>
          </w:p>
        </w:tc>
      </w:tr>
      <w:tr w:rsidR="00863C03" w:rsidRPr="007F1ACD" w:rsidTr="00F62A10">
        <w:trPr>
          <w:trHeight w:val="33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Эстония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247,2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365,2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-54,7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D37DA5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863C03" w:rsidRPr="007F1ACD" w:rsidTr="00F62A10">
        <w:trPr>
          <w:trHeight w:val="375"/>
        </w:trPr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03" w:rsidRPr="00D37DA5" w:rsidRDefault="00863C03" w:rsidP="007F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данным </w:t>
            </w:r>
            <w:proofErr w:type="spellStart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Евростата</w:t>
            </w:r>
            <w:proofErr w:type="spellEnd"/>
            <w:r w:rsidRPr="00D3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7F1ACD" w:rsidRDefault="007F1ACD"/>
    <w:p w:rsidR="00B914F9" w:rsidRPr="00B914F9" w:rsidRDefault="00ED5C9F">
      <w:pPr>
        <w:rPr>
          <w:lang w:val="en-US"/>
        </w:rPr>
      </w:pPr>
      <w:r>
        <w:br w:type="page"/>
      </w:r>
      <w:r w:rsidR="00B914F9">
        <w:rPr>
          <w:noProof/>
          <w:lang w:eastAsia="ru-RU"/>
        </w:rPr>
        <w:lastRenderedPageBreak/>
        <w:drawing>
          <wp:inline distT="0" distB="0" distL="0" distR="0">
            <wp:extent cx="9563100" cy="60864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5074" w:type="dxa"/>
        <w:tblInd w:w="93" w:type="dxa"/>
        <w:tblLook w:val="04A0"/>
      </w:tblPr>
      <w:tblGrid>
        <w:gridCol w:w="3050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6"/>
      </w:tblGrid>
      <w:tr w:rsidR="00140013" w:rsidRPr="00140013" w:rsidTr="00B9408B">
        <w:trPr>
          <w:trHeight w:val="377"/>
        </w:trPr>
        <w:tc>
          <w:tcPr>
            <w:tcW w:w="15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показатели деятельности коллективных средств размещения в России за 2011-2020 гг.</w:t>
            </w:r>
          </w:p>
        </w:tc>
      </w:tr>
      <w:tr w:rsidR="00140013" w:rsidRPr="00140013" w:rsidTr="00140013">
        <w:trPr>
          <w:trHeight w:val="35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0013" w:rsidRPr="00140013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13" w:rsidRPr="00140013" w:rsidRDefault="00140013" w:rsidP="0014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013" w:rsidRPr="00D37DA5" w:rsidTr="00876E01">
        <w:trPr>
          <w:trHeight w:val="296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2011 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2012 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2013 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2014 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2015 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2016 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2017 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2018 г.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2019 г.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2020 г.</w:t>
            </w:r>
          </w:p>
        </w:tc>
      </w:tr>
      <w:tr w:rsidR="00140013" w:rsidRPr="00D37DA5" w:rsidTr="00140013">
        <w:trPr>
          <w:trHeight w:val="56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13 062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14 019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14 583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15 590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20 135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20 534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25 292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28 074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28 302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27 328</w:t>
            </w:r>
          </w:p>
        </w:tc>
      </w:tr>
      <w:tr w:rsidR="00140013" w:rsidRPr="00D37DA5" w:rsidTr="00140013">
        <w:trPr>
          <w:trHeight w:val="28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предыдущему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123,2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96,6</w:t>
            </w:r>
          </w:p>
        </w:tc>
      </w:tr>
      <w:tr w:rsidR="00140013" w:rsidRPr="00D37DA5" w:rsidTr="00140013">
        <w:trPr>
          <w:trHeight w:val="28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Число мест, тыс.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1 294,4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1 345,0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1 386,8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1 573,3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1 762,6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1 848,1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2 167,9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2 415,3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2 495,7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2 473,0</w:t>
            </w:r>
          </w:p>
        </w:tc>
      </w:tr>
      <w:tr w:rsidR="00140013" w:rsidRPr="00D37DA5" w:rsidTr="00140013">
        <w:trPr>
          <w:trHeight w:val="28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предыдущему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99,1</w:t>
            </w:r>
          </w:p>
        </w:tc>
      </w:tr>
      <w:tr w:rsidR="00140013" w:rsidRPr="00D37DA5" w:rsidTr="00140013">
        <w:trPr>
          <w:trHeight w:val="619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Численность размещенных лиц, тыс. человек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ED5C9F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40013" w:rsidRPr="00D37DA5">
              <w:rPr>
                <w:rFonts w:ascii="Times New Roman" w:eastAsia="Times New Roman" w:hAnsi="Times New Roman" w:cs="Times New Roman"/>
                <w:lang w:eastAsia="ru-RU"/>
              </w:rPr>
              <w:t>399,5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ED5C9F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40013" w:rsidRPr="00D37DA5">
              <w:rPr>
                <w:rFonts w:ascii="Times New Roman" w:eastAsia="Times New Roman" w:hAnsi="Times New Roman" w:cs="Times New Roman"/>
                <w:lang w:eastAsia="ru-RU"/>
              </w:rPr>
              <w:t>065,1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ED5C9F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40013" w:rsidRPr="00D37DA5">
              <w:rPr>
                <w:rFonts w:ascii="Times New Roman" w:eastAsia="Times New Roman" w:hAnsi="Times New Roman" w:cs="Times New Roman"/>
                <w:lang w:eastAsia="ru-RU"/>
              </w:rPr>
              <w:t>635,2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ED5C9F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40013" w:rsidRPr="00D37DA5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ED5C9F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40013" w:rsidRPr="00D37DA5">
              <w:rPr>
                <w:rFonts w:ascii="Times New Roman" w:eastAsia="Times New Roman" w:hAnsi="Times New Roman" w:cs="Times New Roman"/>
                <w:lang w:eastAsia="ru-RU"/>
              </w:rPr>
              <w:t>284,2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ED5C9F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140013" w:rsidRPr="00D37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ED5C9F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D37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40013" w:rsidRPr="00D37DA5">
              <w:rPr>
                <w:rFonts w:ascii="Times New Roman" w:eastAsia="Times New Roman" w:hAnsi="Times New Roman" w:cs="Times New Roman"/>
                <w:lang w:eastAsia="ru-RU"/>
              </w:rPr>
              <w:t>563,2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71 538,1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76 041,7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47 382,5</w:t>
            </w:r>
          </w:p>
        </w:tc>
      </w:tr>
      <w:tr w:rsidR="00140013" w:rsidRPr="00D37DA5" w:rsidTr="00140013">
        <w:trPr>
          <w:trHeight w:val="28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предыдущему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62,3</w:t>
            </w:r>
          </w:p>
        </w:tc>
      </w:tr>
      <w:tr w:rsidR="00140013" w:rsidRPr="00D37DA5" w:rsidTr="00140013">
        <w:trPr>
          <w:trHeight w:val="28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14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Число ночевок, тыс.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166 197,1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173 614,2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172 630,5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184 017,7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212 195,3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216 837,6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253 022,7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274 584,7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283 191,0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ED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lang w:eastAsia="ru-RU"/>
              </w:rPr>
              <w:t>191 175,5</w:t>
            </w:r>
          </w:p>
        </w:tc>
      </w:tr>
      <w:tr w:rsidR="00140013" w:rsidRPr="00D37DA5" w:rsidTr="00140013">
        <w:trPr>
          <w:trHeight w:val="296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% </w:t>
            </w:r>
            <w:proofErr w:type="gramStart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End"/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предыдущему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013" w:rsidRPr="00D37DA5" w:rsidRDefault="00140013" w:rsidP="00D37DA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7D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67,5</w:t>
            </w:r>
          </w:p>
        </w:tc>
      </w:tr>
    </w:tbl>
    <w:p w:rsidR="00140013" w:rsidRPr="00D37DA5" w:rsidRDefault="00140013">
      <w:pPr>
        <w:rPr>
          <w:lang w:val="en-US"/>
        </w:rPr>
      </w:pPr>
    </w:p>
    <w:p w:rsidR="001648AE" w:rsidRDefault="00B940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558670" cy="2583712"/>
            <wp:effectExtent l="0" t="0" r="23495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D2B" w:rsidRDefault="00525D2B">
      <w:pPr>
        <w:rPr>
          <w:lang w:val="en-US"/>
        </w:rPr>
        <w:sectPr w:rsidR="00525D2B" w:rsidSect="00BB59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86"/>
        <w:tblW w:w="15134" w:type="dxa"/>
        <w:tblLook w:val="04A0"/>
      </w:tblPr>
      <w:tblGrid>
        <w:gridCol w:w="5406"/>
        <w:gridCol w:w="2320"/>
        <w:gridCol w:w="2320"/>
        <w:gridCol w:w="2320"/>
        <w:gridCol w:w="2768"/>
      </w:tblGrid>
      <w:tr w:rsidR="009523D3" w:rsidRPr="009523D3" w:rsidTr="00235F94">
        <w:trPr>
          <w:trHeight w:val="780"/>
        </w:trPr>
        <w:tc>
          <w:tcPr>
            <w:tcW w:w="15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3D3" w:rsidRPr="009523D3" w:rsidRDefault="009523D3" w:rsidP="002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RANGE!A1:E99"/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показатели деятельности коллективных средств размещения в 2020 году </w:t>
            </w: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разрезе субъектов Российской Федерации</w:t>
            </w:r>
            <w:bookmarkEnd w:id="3"/>
          </w:p>
        </w:tc>
      </w:tr>
      <w:tr w:rsidR="009523D3" w:rsidRPr="009523D3" w:rsidTr="00235F94">
        <w:trPr>
          <w:trHeight w:val="33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4F4E" w:rsidRPr="009523D3" w:rsidTr="00876E01">
        <w:trPr>
          <w:trHeight w:val="930"/>
        </w:trPr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14F4E" w:rsidRPr="00E27EB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Число коллективных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  <w:t>средств размещения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мест, тыс.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ночевок, тыс.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Численность размещенных лиц, </w:t>
            </w:r>
            <w:r w:rsidR="0028263D" w:rsidRPr="002826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тыс. человек</w:t>
            </w:r>
          </w:p>
        </w:tc>
      </w:tr>
      <w:tr w:rsidR="009523D3" w:rsidRPr="009523D3" w:rsidTr="00235F94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27 328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2 473,0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191 175,5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47 382,5   </w:t>
            </w:r>
          </w:p>
        </w:tc>
      </w:tr>
      <w:tr w:rsidR="009523D3" w:rsidRPr="009523D3" w:rsidTr="00235F94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4 617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589,6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56 948,6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14 829,5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186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13,4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753,3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216,3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134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10,4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570,7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141,9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246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20,2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727,0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365,9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253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22,4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1 082,9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501,2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106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9,9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588,5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142,2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198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19,8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1 170,8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414,7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113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666,4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271,7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132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10,8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953,6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138,6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138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12,5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595,7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213,3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730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121,5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6FE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9523D3"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15 779,3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3 017,2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86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193,0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87,8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168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13,1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936,1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321,5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156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9,9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488,3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147,5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119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7,9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400,3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124,6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20,8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1 654,6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492,0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186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16,6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954,1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306,3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221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22,0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1 589,4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596,6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1 170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243,0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6FE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9523D3"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27 844,9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7 330,2   </w:t>
            </w:r>
          </w:p>
        </w:tc>
      </w:tr>
      <w:tr w:rsidR="009523D3" w:rsidRPr="009523D3" w:rsidTr="00235F94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2 731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228,7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20 085,2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6 357,7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243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10,6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884,7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388,1   </w:t>
            </w:r>
          </w:p>
        </w:tc>
      </w:tr>
      <w:tr w:rsidR="009523D3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116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731,5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3D3" w:rsidRPr="009523D3" w:rsidRDefault="009523D3" w:rsidP="00235F94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143,7   </w:t>
            </w:r>
          </w:p>
        </w:tc>
      </w:tr>
      <w:tr w:rsidR="00A14F4E" w:rsidRPr="009523D3" w:rsidTr="00876E01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14F4E" w:rsidRPr="00E27EB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Число коллективных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  <w:t>средств размещения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мест, тыс.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ночевок, тыс.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Численность размещенных лиц, </w:t>
            </w:r>
            <w:r w:rsidR="0028263D" w:rsidRPr="002826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тыс. человек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171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11,2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999,9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204,5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0,2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28,0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8,3   </w:t>
            </w:r>
          </w:p>
        </w:tc>
      </w:tr>
      <w:tr w:rsidR="00A14F4E" w:rsidRPr="009523D3" w:rsidTr="00235F94">
        <w:trPr>
          <w:trHeight w:val="6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 (кроме Ненецкого автономного округа)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163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11,0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971,9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196,2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260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13,7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990,3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282,2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253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17,8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1 847,2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528,2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346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41,2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3 513,3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965,7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184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828,2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257,3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143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716,9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250,4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143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11,3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686,2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257,0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872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97,7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8 887,0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3 080,8   </w:t>
            </w:r>
          </w:p>
        </w:tc>
      </w:tr>
      <w:tr w:rsidR="00A14F4E" w:rsidRPr="009523D3" w:rsidTr="00235F94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Южный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8 198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716,4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54 667,9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10 061,0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275,0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111,6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70,3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26,2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1 490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171,2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13 501,1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1 941,6   </w:t>
            </w:r>
          </w:p>
        </w:tc>
      </w:tr>
      <w:tr w:rsidR="00A14F4E" w:rsidRPr="009523D3" w:rsidTr="00D37DA5">
        <w:trPr>
          <w:trHeight w:val="403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5 124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446,2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D37DA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36 090,2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6 298,4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335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16,2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846,1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201,3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445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30,4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1 303,1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489,0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524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34,2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1 725,0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838,1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153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12,3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857,1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154,8   </w:t>
            </w:r>
          </w:p>
        </w:tc>
      </w:tr>
      <w:tr w:rsidR="00A14F4E" w:rsidRPr="009523D3" w:rsidTr="00235F94">
        <w:trPr>
          <w:trHeight w:val="31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992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97,0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7 276,9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1 183,0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135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16,8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413,2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123,0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0,8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32,3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13,1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150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14,0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659,0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93,0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290,4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89,5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306,9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90,7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331,8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112,5   </w:t>
            </w:r>
          </w:p>
        </w:tc>
      </w:tr>
      <w:tr w:rsidR="00A14F4E" w:rsidRPr="009523D3" w:rsidTr="00876E01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14F4E" w:rsidRPr="00E27EB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Число коллективных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  <w:t>средств размещения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мест, тыс.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ночевок, тыс.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Численность размещенных лиц, </w:t>
            </w:r>
            <w:r w:rsidR="0028263D" w:rsidRPr="002826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тыс. человек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488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45,9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5 243,2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661,1   </w:t>
            </w:r>
          </w:p>
        </w:tc>
      </w:tr>
      <w:tr w:rsidR="00A14F4E" w:rsidRPr="009523D3" w:rsidTr="00235F94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Приволжский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4 169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360,5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22 254,2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6 205,0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591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53,3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3 363,4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893,8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85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9,1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370,6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79,1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72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279,3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82,4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539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55,4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4 207,9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1 449,4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201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14,8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1 239,2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270,8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158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11,8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541,9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188,6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438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31,7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2 321,8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486,4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207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15,9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941,8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213,9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513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42,5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2 518,0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755,0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264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18,8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1 020,4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237,7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138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11,1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618,1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195,3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473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48,7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3 263,7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722,0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329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25,9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890,2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349,9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161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16,3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677,8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280,8   </w:t>
            </w:r>
          </w:p>
        </w:tc>
      </w:tr>
      <w:tr w:rsidR="00A14F4E" w:rsidRPr="009523D3" w:rsidTr="00235F94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Уральский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1 701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151,1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9 921,7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2 846,4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123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454,4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114,7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524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48,5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3 129,8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974,7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595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38,4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3 552,3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1 088,3   </w:t>
            </w:r>
          </w:p>
        </w:tc>
      </w:tr>
      <w:tr w:rsidR="00A14F4E" w:rsidRPr="009523D3" w:rsidTr="00A14F4E">
        <w:trPr>
          <w:trHeight w:val="27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231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12,9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1 010,9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359,6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104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483,9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158,1   </w:t>
            </w:r>
          </w:p>
        </w:tc>
      </w:tr>
      <w:tr w:rsidR="00A14F4E" w:rsidRPr="009523D3" w:rsidTr="00A14F4E">
        <w:trPr>
          <w:trHeight w:val="817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 (кроме Ханты-Мансийского автономного округа и Ямало-Ненецкого автономного округа)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260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20,8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2 057,5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570,5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459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56,7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2 785,2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668,7   </w:t>
            </w:r>
          </w:p>
        </w:tc>
      </w:tr>
      <w:tr w:rsidR="00A14F4E" w:rsidRPr="009523D3" w:rsidTr="00AB66D6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Сибирский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2 806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201,1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12 333,1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3 567,2   </w:t>
            </w:r>
          </w:p>
        </w:tc>
      </w:tr>
      <w:tr w:rsidR="00A14F4E" w:rsidRPr="009523D3" w:rsidTr="00AB66D6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263 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11,4 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370,8  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149,6   </w:t>
            </w:r>
          </w:p>
        </w:tc>
      </w:tr>
      <w:tr w:rsidR="00A14F4E" w:rsidRPr="009523D3" w:rsidTr="00876E01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14F4E" w:rsidRPr="00E27EB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Число коллективных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  <w:t>средств размещения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мест, тыс.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 ночевок, тыс.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A14F4E" w:rsidRPr="00E27EB3" w:rsidRDefault="00A14F4E" w:rsidP="00A1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Численность размещенных лиц, </w:t>
            </w:r>
            <w:r w:rsidR="0028263D" w:rsidRPr="002826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br/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тыс. человек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177,7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34,6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86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7,4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564,5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108,3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527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35,6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2 143,4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494,6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408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35,1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2 081,0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538,0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395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26,8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1 690,6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609,6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 - Кузбасс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306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20,4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1 334,9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387,3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343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32,6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2 339,5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789,4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237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20,1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1 163,0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332,0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165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8,0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467,7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123,7   </w:t>
            </w:r>
          </w:p>
        </w:tc>
      </w:tr>
      <w:tr w:rsidR="00A14F4E" w:rsidRPr="009523D3" w:rsidTr="00235F94">
        <w:trPr>
          <w:trHeight w:val="285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2 114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128,6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7 688,1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2 332,7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365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17,5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711,2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278,2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206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479,2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114,5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186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10,8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545,2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201,7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100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337,3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116,9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618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51,7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2 412,0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631,9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237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19,1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1 369,8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432,5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184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8,6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646,1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257,4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26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1,7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247,4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62,6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114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5,5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755,4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194,8   </w:t>
            </w:r>
          </w:p>
        </w:tc>
      </w:tr>
      <w:tr w:rsidR="00A14F4E" w:rsidRPr="009523D3" w:rsidTr="00235F94">
        <w:trPr>
          <w:trHeight w:val="300"/>
        </w:trPr>
        <w:tc>
          <w:tcPr>
            <w:tcW w:w="5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30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2,0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119,3 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26,5   </w:t>
            </w:r>
          </w:p>
        </w:tc>
      </w:tr>
      <w:tr w:rsidR="00A14F4E" w:rsidRPr="009523D3" w:rsidTr="00235F94">
        <w:trPr>
          <w:trHeight w:val="315"/>
        </w:trPr>
        <w:tc>
          <w:tcPr>
            <w:tcW w:w="5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48 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1,0 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65,2  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F4E" w:rsidRPr="009523D3" w:rsidRDefault="00A14F4E" w:rsidP="00A14F4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15,7   </w:t>
            </w:r>
          </w:p>
        </w:tc>
      </w:tr>
    </w:tbl>
    <w:p w:rsidR="00D96921" w:rsidRDefault="00D96921">
      <w:pPr>
        <w:rPr>
          <w:lang w:val="en-US"/>
        </w:rPr>
      </w:pPr>
    </w:p>
    <w:p w:rsidR="009526FE" w:rsidRDefault="009526FE">
      <w:pPr>
        <w:rPr>
          <w:lang w:val="en-US"/>
        </w:rPr>
      </w:pPr>
    </w:p>
    <w:p w:rsidR="009526FE" w:rsidRDefault="009526FE">
      <w:pPr>
        <w:rPr>
          <w:lang w:val="en-US"/>
        </w:rPr>
      </w:pPr>
    </w:p>
    <w:p w:rsidR="009526FE" w:rsidRDefault="009526FE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Y="391"/>
        <w:tblW w:w="15134" w:type="dxa"/>
        <w:tblLook w:val="04A0"/>
      </w:tblPr>
      <w:tblGrid>
        <w:gridCol w:w="2916"/>
        <w:gridCol w:w="1215"/>
        <w:gridCol w:w="2214"/>
        <w:gridCol w:w="1230"/>
        <w:gridCol w:w="2229"/>
        <w:gridCol w:w="1423"/>
        <w:gridCol w:w="567"/>
        <w:gridCol w:w="1439"/>
        <w:gridCol w:w="1901"/>
      </w:tblGrid>
      <w:tr w:rsidR="00C87943" w:rsidRPr="00C87943" w:rsidTr="00617CDC">
        <w:trPr>
          <w:trHeight w:val="399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Рейтинг стран «Группы двадцати»: </w:t>
            </w: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отдельные показатели сферы путешествий и туризма</w:t>
            </w:r>
            <w:proofErr w:type="gramStart"/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 xml:space="preserve">) </w:t>
            </w:r>
          </w:p>
        </w:tc>
      </w:tr>
      <w:tr w:rsidR="00C87943" w:rsidRPr="00C87943" w:rsidTr="001D071C">
        <w:trPr>
          <w:trHeight w:val="16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7943" w:rsidRPr="00C87943" w:rsidTr="001D071C">
        <w:trPr>
          <w:trHeight w:val="124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C87943" w:rsidRPr="00E27EB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943" w:rsidRPr="00E27EB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Позиция в рейтинге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943" w:rsidRPr="00E27EB3" w:rsidRDefault="00C87943" w:rsidP="002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Общий вклад сферы путешествий и туризма в ВВП, </w:t>
            </w:r>
            <w:proofErr w:type="gramStart"/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млрд</w:t>
            </w:r>
            <w:proofErr w:type="gramEnd"/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 долл. США</w:t>
            </w:r>
            <w:r w:rsidR="002469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(обменный курс </w:t>
            </w:r>
            <w:r w:rsidR="0024691C" w:rsidRPr="002469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br/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2020 г.)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943" w:rsidRPr="00E27EB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Позиция в рейтинге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943" w:rsidRPr="00E27EB3" w:rsidRDefault="00C87943" w:rsidP="002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Общий вклад сферы путешествий и туризма в ВВП, </w:t>
            </w:r>
            <w:proofErr w:type="gramStart"/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млрд</w:t>
            </w:r>
            <w:proofErr w:type="gramEnd"/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 долл. США (обменный курс </w:t>
            </w:r>
            <w:r w:rsidR="002469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val="en-US" w:eastAsia="ru-RU"/>
              </w:rPr>
              <w:br/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2020 г.)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943" w:rsidRPr="00E27EB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Прирост в %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br/>
              <w:t>к 2019 г.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943" w:rsidRPr="00E27EB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Доля сферы путешествий и туризма в ВВП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br/>
              <w:t xml:space="preserve">страны, </w:t>
            </w:r>
            <w:proofErr w:type="gramStart"/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в</w:t>
            </w:r>
            <w:proofErr w:type="gramEnd"/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 %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2019 г.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2020 г.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2020 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2019 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2020 г.</w:t>
            </w:r>
          </w:p>
        </w:tc>
      </w:tr>
      <w:tr w:rsidR="00C87943" w:rsidRPr="00C87943" w:rsidTr="001D071C">
        <w:trPr>
          <w:trHeight w:val="316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1869,7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1103,7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5,3</w:t>
            </w:r>
          </w:p>
        </w:tc>
      </w:tr>
      <w:tr w:rsidR="00C87943" w:rsidRPr="00C87943" w:rsidTr="001D071C">
        <w:trPr>
          <w:trHeight w:val="18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Китай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1665,6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667,2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-59,9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Япония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234,9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Германия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208,8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-46,9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 Италия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132,2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 Франция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123,2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-48,8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4,7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 Индия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121,9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-36,3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4,7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8. Великобритания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4,2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9. Мексика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91,2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-48,1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8,5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 Австралия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81,4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-45,4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 Бразилия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-32,6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 Испания 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75,4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-62,7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5,9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 Канада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 Саудовская Аравия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-38,8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7,1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 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16. Корея, Республика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 Турция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-54,2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18. Индонезия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-46,6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</w:t>
            </w:r>
          </w:p>
        </w:tc>
      </w:tr>
      <w:tr w:rsidR="00C87943" w:rsidRPr="00C87943" w:rsidTr="001D071C">
        <w:trPr>
          <w:trHeight w:val="15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 Аргентина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-37,5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6,5</w:t>
            </w:r>
          </w:p>
        </w:tc>
      </w:tr>
      <w:tr w:rsidR="00C87943" w:rsidRPr="00C87943" w:rsidTr="001D071C">
        <w:trPr>
          <w:trHeight w:val="16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20. ЮАР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-49,8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</w:t>
            </w:r>
          </w:p>
        </w:tc>
      </w:tr>
      <w:tr w:rsidR="00C87943" w:rsidRPr="00C87943" w:rsidTr="00617CDC">
        <w:trPr>
          <w:trHeight w:val="513"/>
        </w:trPr>
        <w:tc>
          <w:tcPr>
            <w:tcW w:w="151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Методология и источник: ежегодное исследование Всемирного совета по туризму и путешествиям (WTTC) с участием экспертов </w:t>
            </w:r>
            <w:proofErr w:type="spellStart"/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Oxford</w:t>
            </w:r>
            <w:proofErr w:type="spellEnd"/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Economics</w:t>
            </w:r>
            <w:proofErr w:type="spellEnd"/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2020 год. </w:t>
            </w: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0" w:history="1">
              <w:r w:rsidRPr="00F41608">
                <w:rPr>
                  <w:rStyle w:val="a6"/>
                  <w:rFonts w:ascii="Times New Roman" w:eastAsia="Times New Roman" w:hAnsi="Times New Roman" w:cs="Times New Roman"/>
                  <w:szCs w:val="24"/>
                  <w:lang w:eastAsia="ru-RU"/>
                </w:rPr>
                <w:t>https://wttc.org/Research/Economic-Impact</w:t>
              </w:r>
            </w:hyperlink>
          </w:p>
        </w:tc>
      </w:tr>
      <w:tr w:rsidR="00C87943" w:rsidRPr="00C87943" w:rsidTr="00617CDC">
        <w:trPr>
          <w:trHeight w:val="234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943" w:rsidRPr="00C87943" w:rsidRDefault="00C87943" w:rsidP="00C8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*)</w:t>
            </w:r>
            <w:r w:rsidRPr="00C879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Испания имеет статус постоянного наблюдателя в G20</w:t>
            </w:r>
            <w:proofErr w:type="gramEnd"/>
          </w:p>
        </w:tc>
      </w:tr>
    </w:tbl>
    <w:p w:rsidR="00536723" w:rsidRDefault="00536723"/>
    <w:p w:rsidR="00536723" w:rsidRDefault="00536723">
      <w:r>
        <w:br w:type="page"/>
      </w:r>
    </w:p>
    <w:p w:rsidR="00536723" w:rsidRDefault="00536723">
      <w:pPr>
        <w:sectPr w:rsidR="00536723" w:rsidSect="00BB59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616"/>
        <w:tblW w:w="15134" w:type="dxa"/>
        <w:tblLayout w:type="fixed"/>
        <w:tblLook w:val="04A0"/>
      </w:tblPr>
      <w:tblGrid>
        <w:gridCol w:w="3936"/>
        <w:gridCol w:w="2799"/>
        <w:gridCol w:w="2581"/>
        <w:gridCol w:w="219"/>
        <w:gridCol w:w="17"/>
        <w:gridCol w:w="2782"/>
        <w:gridCol w:w="187"/>
        <w:gridCol w:w="2613"/>
      </w:tblGrid>
      <w:tr w:rsidR="00536723" w:rsidRPr="00536723" w:rsidTr="00BD5F9F">
        <w:trPr>
          <w:trHeight w:val="1058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23" w:rsidRPr="00536723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Рейтинг стран по индексу </w:t>
            </w:r>
            <w:r w:rsidRPr="0053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«Конкурентоспособность индустрии туризма и путешествий»</w:t>
            </w:r>
            <w:r w:rsidRPr="0053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</w:tr>
      <w:tr w:rsidR="00536723" w:rsidRPr="00536723" w:rsidTr="00BD5F9F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23" w:rsidRPr="00536723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23" w:rsidRPr="00536723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23" w:rsidRPr="00536723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23" w:rsidRPr="00536723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23" w:rsidRPr="00536723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5F9F" w:rsidRPr="00536723" w:rsidTr="00E27EB3">
        <w:trPr>
          <w:trHeight w:val="316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536723" w:rsidRPr="00E27EB3" w:rsidRDefault="0053672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Страна</w:t>
            </w:r>
          </w:p>
        </w:tc>
        <w:tc>
          <w:tcPr>
            <w:tcW w:w="55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36723" w:rsidRPr="00E27EB3" w:rsidRDefault="00536723" w:rsidP="000A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2017 г.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vertAlign w:val="superscript"/>
                <w:lang w:eastAsia="ru-RU"/>
              </w:rPr>
              <w:t>2)</w:t>
            </w:r>
          </w:p>
        </w:tc>
        <w:tc>
          <w:tcPr>
            <w:tcW w:w="55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536723" w:rsidRPr="00E27EB3" w:rsidRDefault="00536723" w:rsidP="000A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2019 г.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vertAlign w:val="superscript"/>
                <w:lang w:eastAsia="ru-RU"/>
              </w:rPr>
              <w:t>3)</w:t>
            </w:r>
          </w:p>
        </w:tc>
      </w:tr>
      <w:tr w:rsidR="00617CDC" w:rsidRPr="00536723" w:rsidTr="00E27EB3">
        <w:trPr>
          <w:trHeight w:val="912"/>
        </w:trPr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6723" w:rsidRPr="00E27EB3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536723" w:rsidRPr="00E27EB3" w:rsidRDefault="0053672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Позиция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536723" w:rsidRPr="00E27EB3" w:rsidRDefault="0053672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Значение индекса (1-7)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536723" w:rsidRPr="00E27EB3" w:rsidRDefault="0053672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Позиция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536723" w:rsidRPr="00E27EB3" w:rsidRDefault="0053672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Значение индекса (1-7)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4,3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страны мира: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617CDC" w:rsidRPr="00536723" w:rsidTr="00E27EB3">
        <w:trPr>
          <w:trHeight w:val="51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5,43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5,4</w:t>
            </w:r>
          </w:p>
        </w:tc>
      </w:tr>
      <w:tr w:rsidR="00617CDC" w:rsidRPr="00536723" w:rsidTr="00E27EB3">
        <w:trPr>
          <w:trHeight w:val="30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5,4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5,4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5,4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5,3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5,2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5,1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5,1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4,97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5,1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Щвейцария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4,94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Португалия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4,9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4,72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4,9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Гонконг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Голландия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Корея, Республика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Зеландия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4,7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Мексика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4,7</w:t>
            </w:r>
          </w:p>
        </w:tc>
      </w:tr>
      <w:tr w:rsidR="00617CDC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723" w:rsidRPr="00655D80" w:rsidRDefault="00536723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</w:t>
            </w:r>
          </w:p>
        </w:tc>
      </w:tr>
      <w:tr w:rsidR="00BD5F9F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</w:t>
            </w:r>
          </w:p>
        </w:tc>
      </w:tr>
      <w:tr w:rsidR="00BD5F9F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F9F" w:rsidRPr="00655D80" w:rsidRDefault="00BD5F9F" w:rsidP="00B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C000"/>
          </w:tcPr>
          <w:p w:rsidR="00E27EB3" w:rsidRPr="00E27EB3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Страна</w:t>
            </w:r>
          </w:p>
        </w:tc>
        <w:tc>
          <w:tcPr>
            <w:tcW w:w="5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7EB3" w:rsidRPr="00E27EB3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2017 г.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vertAlign w:val="superscript"/>
                <w:lang w:eastAsia="ru-RU"/>
              </w:rPr>
              <w:t>2)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27EB3" w:rsidRPr="00E27EB3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2019 г.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vertAlign w:val="superscript"/>
                <w:lang w:eastAsia="ru-RU"/>
              </w:rPr>
              <w:t>3)</w:t>
            </w:r>
          </w:p>
        </w:tc>
      </w:tr>
      <w:tr w:rsidR="00E27EB3" w:rsidRPr="00536723" w:rsidTr="00E27EB3">
        <w:trPr>
          <w:trHeight w:val="1139"/>
        </w:trPr>
        <w:tc>
          <w:tcPr>
            <w:tcW w:w="39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7EB3" w:rsidRPr="00E27EB3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7EB3" w:rsidRPr="00E27EB3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Позиция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7EB3" w:rsidRPr="00E27EB3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Значение индекса (1-7)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7EB3" w:rsidRPr="00E27EB3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Позиция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</w:tcPr>
          <w:p w:rsidR="00E27EB3" w:rsidRPr="00E27EB3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Значение индекса (1-7)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Люксембург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4,6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Бельгия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Греция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Ирландия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Хорватия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</w:tr>
      <w:tr w:rsidR="00E27EB3" w:rsidRPr="00536723" w:rsidTr="00E27EB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Малайзия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</w:tr>
      <w:tr w:rsidR="00E27EB3" w:rsidRPr="00536723" w:rsidTr="00E27EB3">
        <w:trPr>
          <w:trHeight w:val="26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Исландия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EB3" w:rsidRPr="00655D80" w:rsidRDefault="00E27EB3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5D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</w:tr>
      <w:tr w:rsidR="00E27EB3" w:rsidRPr="00536723" w:rsidTr="00BD5F9F">
        <w:trPr>
          <w:trHeight w:val="535"/>
        </w:trPr>
        <w:tc>
          <w:tcPr>
            <w:tcW w:w="15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B3" w:rsidRPr="00536723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подготовлена на основе публикации Всемирного экономического форума (WEF),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Tourism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Competitiveness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2019.</w:t>
            </w:r>
          </w:p>
        </w:tc>
      </w:tr>
      <w:tr w:rsidR="00E27EB3" w:rsidRPr="00536723" w:rsidTr="00BD5F9F">
        <w:trPr>
          <w:trHeight w:val="535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B3" w:rsidRPr="00536723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приведены по 30-ти странам. Всего в рейтинге Всемирного экономического форума (WEF),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Tourism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Competitiveness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Ranking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представлено 136 стран.</w:t>
            </w:r>
          </w:p>
        </w:tc>
      </w:tr>
      <w:tr w:rsidR="00E27EB3" w:rsidRPr="00536723" w:rsidTr="00BD5F9F">
        <w:trPr>
          <w:trHeight w:val="535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B3" w:rsidRPr="00536723" w:rsidRDefault="00E27EB3" w:rsidP="00E2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3)</w:t>
            </w:r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приведены по 30-ти странам. Всего в рейтинге Всемирного экономического форума (WEF),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Tourism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Competitiveness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Overall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53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представлено 140 стран.</w:t>
            </w:r>
          </w:p>
        </w:tc>
      </w:tr>
    </w:tbl>
    <w:p w:rsidR="000472DC" w:rsidRDefault="000472DC"/>
    <w:p w:rsidR="000472DC" w:rsidRDefault="000472DC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620250" cy="53816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72DC" w:rsidRDefault="000472DC">
      <w:r>
        <w:br w:type="page"/>
      </w:r>
    </w:p>
    <w:tbl>
      <w:tblPr>
        <w:tblW w:w="15517" w:type="dxa"/>
        <w:tblInd w:w="93" w:type="dxa"/>
        <w:tblLook w:val="04A0"/>
      </w:tblPr>
      <w:tblGrid>
        <w:gridCol w:w="2924"/>
        <w:gridCol w:w="856"/>
        <w:gridCol w:w="1595"/>
        <w:gridCol w:w="2452"/>
        <w:gridCol w:w="236"/>
        <w:gridCol w:w="1217"/>
        <w:gridCol w:w="999"/>
        <w:gridCol w:w="2452"/>
        <w:gridCol w:w="2452"/>
        <w:gridCol w:w="334"/>
      </w:tblGrid>
      <w:tr w:rsidR="00924A2C" w:rsidRPr="00924A2C" w:rsidTr="008B0841">
        <w:trPr>
          <w:gridAfter w:val="1"/>
          <w:wAfter w:w="334" w:type="dxa"/>
          <w:trHeight w:val="396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Рейтинг 20-ти самых популярных стран по туристским прибытиям</w:t>
            </w:r>
            <w:r w:rsidR="008B0841" w:rsidRPr="008B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1) 3)</w:t>
            </w:r>
          </w:p>
        </w:tc>
      </w:tr>
      <w:tr w:rsidR="008B0841" w:rsidRPr="00924A2C" w:rsidTr="008B0841">
        <w:trPr>
          <w:trHeight w:val="101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4A2C" w:rsidRPr="00924A2C" w:rsidTr="00876E01">
        <w:trPr>
          <w:gridAfter w:val="1"/>
          <w:wAfter w:w="334" w:type="dxa"/>
          <w:trHeight w:val="233"/>
        </w:trPr>
        <w:tc>
          <w:tcPr>
            <w:tcW w:w="2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7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туристских прибытий, млн. чел.</w:t>
            </w:r>
          </w:p>
        </w:tc>
      </w:tr>
      <w:tr w:rsidR="008B0841" w:rsidRPr="00924A2C" w:rsidTr="00876E01">
        <w:trPr>
          <w:gridAfter w:val="1"/>
          <w:wAfter w:w="334" w:type="dxa"/>
          <w:trHeight w:val="98"/>
        </w:trPr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924A2C" w:rsidRPr="00E27EB3" w:rsidRDefault="00924A2C" w:rsidP="00E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 г. *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B0841" w:rsidRPr="00924A2C" w:rsidTr="008B0841">
        <w:trPr>
          <w:gridAfter w:val="1"/>
          <w:wAfter w:w="334" w:type="dxa"/>
          <w:trHeight w:val="191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8B0841" w:rsidRPr="00924A2C" w:rsidTr="008B0841">
        <w:trPr>
          <w:gridAfter w:val="1"/>
          <w:wAfter w:w="334" w:type="dxa"/>
          <w:trHeight w:val="11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Тайланд</w:t>
            </w:r>
            <w:proofErr w:type="spellEnd"/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B0841" w:rsidRPr="00924A2C" w:rsidTr="008B0841">
        <w:trPr>
          <w:gridAfter w:val="1"/>
          <w:wAfter w:w="334" w:type="dxa"/>
          <w:trHeight w:val="11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B0841" w:rsidRPr="00924A2C" w:rsidTr="008B0841">
        <w:trPr>
          <w:gridAfter w:val="1"/>
          <w:wAfter w:w="334" w:type="dxa"/>
          <w:trHeight w:val="96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Объединенные Арабские Эмираты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8B0841" w:rsidRPr="00924A2C" w:rsidTr="008B0841">
        <w:trPr>
          <w:gridAfter w:val="1"/>
          <w:wAfter w:w="334" w:type="dxa"/>
          <w:trHeight w:val="101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A2C" w:rsidRPr="00924A2C" w:rsidRDefault="00924A2C" w:rsidP="008B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924A2C" w:rsidRPr="00924A2C" w:rsidTr="008B0841">
        <w:trPr>
          <w:gridAfter w:val="1"/>
          <w:wAfter w:w="334" w:type="dxa"/>
          <w:trHeight w:val="200"/>
        </w:trPr>
        <w:tc>
          <w:tcPr>
            <w:tcW w:w="15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подготовлена на основе публикации Всемирной туристской организации (UNWTO).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Tourism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Barometer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Volume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Issue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2021.</w:t>
            </w:r>
          </w:p>
        </w:tc>
      </w:tr>
      <w:tr w:rsidR="00924A2C" w:rsidRPr="00924A2C" w:rsidTr="008B0841">
        <w:trPr>
          <w:gridAfter w:val="1"/>
          <w:wAfter w:w="334" w:type="dxa"/>
          <w:trHeight w:val="20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Росстата</w:t>
            </w:r>
          </w:p>
        </w:tc>
      </w:tr>
      <w:tr w:rsidR="00924A2C" w:rsidRPr="00924A2C" w:rsidTr="008B0841">
        <w:trPr>
          <w:gridAfter w:val="1"/>
          <w:wAfter w:w="334" w:type="dxa"/>
          <w:trHeight w:val="20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2C" w:rsidRPr="00924A2C" w:rsidRDefault="00924A2C" w:rsidP="00AB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3)</w:t>
            </w: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приведены по 20-ти странам. Всего в рейтинге Всемирной туристской организации (UNWTO)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Tourism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Barometer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Volume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Issue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представлено 50 стран.</w:t>
            </w:r>
          </w:p>
        </w:tc>
      </w:tr>
      <w:tr w:rsidR="00924A2C" w:rsidRPr="00924A2C" w:rsidTr="008B0841">
        <w:trPr>
          <w:gridAfter w:val="1"/>
          <w:wAfter w:w="334" w:type="dxa"/>
          <w:trHeight w:val="118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A2C" w:rsidRPr="00924A2C" w:rsidRDefault="00924A2C" w:rsidP="009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*)</w:t>
            </w:r>
            <w:r w:rsidRPr="0092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</w:t>
            </w:r>
            <w:proofErr w:type="gramEnd"/>
          </w:p>
        </w:tc>
      </w:tr>
    </w:tbl>
    <w:p w:rsidR="00894E80" w:rsidRPr="008B0841" w:rsidRDefault="00894E80">
      <w:pPr>
        <w:rPr>
          <w:lang w:val="en-US"/>
        </w:rPr>
      </w:pPr>
    </w:p>
    <w:p w:rsidR="00894E80" w:rsidRDefault="00894E80">
      <w:pPr>
        <w:rPr>
          <w:lang w:val="en-US"/>
        </w:rPr>
        <w:sectPr w:rsidR="00894E80" w:rsidSect="00BB59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4917"/>
        <w:gridCol w:w="3397"/>
        <w:gridCol w:w="3398"/>
        <w:gridCol w:w="2105"/>
        <w:gridCol w:w="1366"/>
      </w:tblGrid>
      <w:tr w:rsidR="00894E80" w:rsidRPr="00894E80" w:rsidTr="003417F0">
        <w:trPr>
          <w:trHeight w:val="466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резидентов внутри страны в 2019 г. и в 2020 г.</w:t>
            </w:r>
            <w:r w:rsidRPr="0089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</w:tr>
      <w:tr w:rsidR="00894E80" w:rsidRPr="00894E80" w:rsidTr="003417F0">
        <w:trPr>
          <w:trHeight w:val="193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E80" w:rsidRPr="00894E80" w:rsidTr="00876E01">
        <w:trPr>
          <w:trHeight w:val="1151"/>
        </w:trPr>
        <w:tc>
          <w:tcPr>
            <w:tcW w:w="4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94E80" w:rsidRPr="00E27EB3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резидентов внутри страны на сферу путешествий и туризма в долларах США, (</w:t>
            </w:r>
            <w:r w:rsidR="001D071C" w:rsidRPr="001D07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ценам и обменному курсу 2020 г., </w:t>
            </w:r>
            <w:proofErr w:type="gramStart"/>
            <w:r w:rsidR="001D071C" w:rsidRPr="001D07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="001D071C" w:rsidRPr="001D07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долл. США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894E80" w:rsidRPr="00E27EB3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Прирост в % </w:t>
            </w:r>
            <w:r w:rsidRPr="00E27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к 2019 г.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894E80" w:rsidRPr="00894E80" w:rsidTr="003417F0">
        <w:trPr>
          <w:trHeight w:val="369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США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1026,0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-37,1</w:t>
            </w:r>
          </w:p>
        </w:tc>
      </w:tr>
      <w:tr w:rsidR="00894E80" w:rsidRPr="00894E80" w:rsidTr="003417F0">
        <w:trPr>
          <w:trHeight w:val="219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Китай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-60,8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Германия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-47,3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Япония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-30,2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Индия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-30,7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Италия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-49,6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Великобритания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-63,2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Мексика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-47,9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Франция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-49,8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Бразилия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-35,5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Австралия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-41,1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Нидерланды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-34,0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Филиппины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-35,6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Испания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-50,7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Канада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-51,0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Швейцария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-18,6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Россия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-43,8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Тайланд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-28,2</w:t>
            </w:r>
          </w:p>
        </w:tc>
      </w:tr>
      <w:tr w:rsidR="00894E80" w:rsidRPr="00894E80" w:rsidTr="003417F0">
        <w:trPr>
          <w:trHeight w:val="185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Корея, Республика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-34,0</w:t>
            </w:r>
          </w:p>
        </w:tc>
      </w:tr>
      <w:tr w:rsidR="00894E80" w:rsidRPr="00894E80" w:rsidTr="003417F0">
        <w:trPr>
          <w:trHeight w:val="193"/>
        </w:trPr>
        <w:tc>
          <w:tcPr>
            <w:tcW w:w="4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Аргентина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E80" w:rsidRPr="00894E80" w:rsidRDefault="00894E80" w:rsidP="0089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94E80" w:rsidRPr="00894E80" w:rsidTr="003417F0">
        <w:trPr>
          <w:trHeight w:val="800"/>
        </w:trPr>
        <w:tc>
          <w:tcPr>
            <w:tcW w:w="15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E80" w:rsidRPr="00894E80" w:rsidRDefault="00894E80" w:rsidP="0089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Методология и источник: публикация Всемирного совета по туризму и путешествиям (WTTC) с участием экспертов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Oxford</w:t>
            </w:r>
            <w:proofErr w:type="spellEnd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</w:t>
            </w:r>
            <w:proofErr w:type="spellEnd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Impact</w:t>
            </w:r>
            <w:proofErr w:type="spellEnd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Trends</w:t>
            </w:r>
            <w:proofErr w:type="spellEnd"/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2021. </w:t>
            </w:r>
            <w:r w:rsidRPr="0089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C21AF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https://wttc.org/Research/Economic-Impact</w:t>
              </w:r>
            </w:hyperlink>
          </w:p>
        </w:tc>
      </w:tr>
    </w:tbl>
    <w:p w:rsidR="00894E80" w:rsidRDefault="00894E80">
      <w:pPr>
        <w:rPr>
          <w:lang w:val="en-US"/>
        </w:rPr>
      </w:pPr>
    </w:p>
    <w:p w:rsidR="00372D16" w:rsidRDefault="00372D16">
      <w:pPr>
        <w:rPr>
          <w:lang w:val="en-US"/>
        </w:rPr>
        <w:sectPr w:rsidR="00372D16" w:rsidSect="00BB59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2D16" w:rsidRPr="00862C2C" w:rsidRDefault="00372D16" w:rsidP="00372D16">
      <w:pPr>
        <w:spacing w:before="200" w:line="220" w:lineRule="atLeast"/>
        <w:jc w:val="center"/>
        <w:rPr>
          <w:rFonts w:ascii="Times New Roman" w:eastAsia="Symbol" w:hAnsi="Times New Roman" w:cs="Times New Roman"/>
          <w:b/>
          <w:color w:val="000000"/>
          <w:sz w:val="24"/>
        </w:rPr>
      </w:pPr>
      <w:r w:rsidRPr="00862C2C">
        <w:rPr>
          <w:rFonts w:ascii="Times New Roman" w:eastAsia="Symbol" w:hAnsi="Times New Roman" w:cs="Times New Roman"/>
          <w:b/>
          <w:color w:val="000000"/>
          <w:sz w:val="24"/>
        </w:rPr>
        <w:lastRenderedPageBreak/>
        <w:t>В публикации приняты условные обозначения:</w:t>
      </w:r>
    </w:p>
    <w:p w:rsidR="00372D16" w:rsidRDefault="00372D16" w:rsidP="00372D16">
      <w:pPr>
        <w:spacing w:before="200" w:line="220" w:lineRule="atLeast"/>
        <w:ind w:left="3686"/>
        <w:rPr>
          <w:rFonts w:ascii="Times New Roman" w:eastAsia="Symbol" w:hAnsi="Times New Roman" w:cs="Times New Roman"/>
          <w:color w:val="000000"/>
          <w:sz w:val="24"/>
        </w:rPr>
      </w:pPr>
      <w:r w:rsidRPr="00FA5B44">
        <w:rPr>
          <w:rFonts w:ascii="Times New Roman" w:eastAsia="Symbol" w:hAnsi="Times New Roman" w:cs="Times New Roman"/>
          <w:color w:val="000000"/>
          <w:sz w:val="24"/>
        </w:rPr>
        <w:t>–</w:t>
      </w:r>
      <w:r>
        <w:rPr>
          <w:rFonts w:ascii="Times New Roman" w:eastAsia="Symbol" w:hAnsi="Times New Roman" w:cs="Times New Roman"/>
          <w:color w:val="000000"/>
          <w:sz w:val="24"/>
        </w:rPr>
        <w:t xml:space="preserve">  </w:t>
      </w:r>
      <w:r w:rsidRPr="00FA5B44">
        <w:rPr>
          <w:rFonts w:ascii="Times New Roman" w:eastAsia="Symbol" w:hAnsi="Times New Roman" w:cs="Times New Roman"/>
          <w:color w:val="000000"/>
          <w:sz w:val="24"/>
        </w:rPr>
        <w:t>явление отсутствует;</w:t>
      </w:r>
    </w:p>
    <w:p w:rsidR="00372D16" w:rsidRDefault="00372D16" w:rsidP="00372D16">
      <w:pPr>
        <w:ind w:left="3686"/>
      </w:pPr>
      <w:r w:rsidRPr="00FA5B44">
        <w:rPr>
          <w:rFonts w:ascii="Times New Roman" w:eastAsia="Symbol" w:hAnsi="Times New Roman" w:cs="Times New Roman"/>
          <w:color w:val="000000"/>
          <w:sz w:val="24"/>
        </w:rPr>
        <w:t>...</w:t>
      </w:r>
      <w:r>
        <w:rPr>
          <w:rFonts w:ascii="Times New Roman" w:eastAsia="Symbol" w:hAnsi="Times New Roman" w:cs="Times New Roman"/>
          <w:color w:val="000000"/>
          <w:sz w:val="24"/>
        </w:rPr>
        <w:t xml:space="preserve">  данных не имеется.</w:t>
      </w:r>
    </w:p>
    <w:p w:rsidR="009312FD" w:rsidRDefault="009312FD"/>
    <w:p w:rsidR="009312FD" w:rsidRDefault="009312FD">
      <w:r>
        <w:br w:type="page"/>
      </w:r>
    </w:p>
    <w:p w:rsidR="00372D16" w:rsidRPr="00372D16" w:rsidRDefault="0021766A" w:rsidP="00803090">
      <w:pPr>
        <w:jc w:val="center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31.2pt;margin-top:1.8pt;width:408pt;height:14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" fillcolor="white [3201]" stroked="f">
            <v:fill opacity="0"/>
            <v:shadow on="t" type="perspective" color="black" opacity="655f" origin="-.5,-.5" offset=".74836mm,.74836mm" matrix="97649f,,,97649f"/>
            <v:textbox>
              <w:txbxContent>
                <w:p w:rsidR="00803090" w:rsidRDefault="00803090" w:rsidP="00803090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03090">
                    <w:rPr>
                      <w:rFonts w:asciiTheme="minorHAnsi" w:hAnsi="Calibri" w:cstheme="minorBidi"/>
                      <w:b/>
                      <w:bCs/>
                      <w:color w:val="31849B" w:themeColor="accent5" w:themeShade="BF"/>
                      <w:sz w:val="36"/>
                      <w:szCs w:val="36"/>
                    </w:rPr>
                    <w:t>Поздравляем с Всемирным днем туризма!</w:t>
                  </w:r>
                </w:p>
              </w:txbxContent>
            </v:textbox>
          </v:shape>
        </w:pict>
      </w:r>
      <w:r w:rsidR="00803090">
        <w:rPr>
          <w:noProof/>
          <w:lang w:eastAsia="ru-RU"/>
        </w:rPr>
        <w:drawing>
          <wp:inline distT="0" distB="0" distL="0" distR="0">
            <wp:extent cx="6124575" cy="8477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D16" w:rsidRPr="00372D16" w:rsidSect="00984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2A"/>
    <w:rsid w:val="0001675E"/>
    <w:rsid w:val="000472DC"/>
    <w:rsid w:val="000A1F19"/>
    <w:rsid w:val="000F45ED"/>
    <w:rsid w:val="00140013"/>
    <w:rsid w:val="0014002A"/>
    <w:rsid w:val="00152C77"/>
    <w:rsid w:val="001648AE"/>
    <w:rsid w:val="001D059D"/>
    <w:rsid w:val="001D071C"/>
    <w:rsid w:val="0021766A"/>
    <w:rsid w:val="00235F94"/>
    <w:rsid w:val="0024691C"/>
    <w:rsid w:val="0028263D"/>
    <w:rsid w:val="002C23B2"/>
    <w:rsid w:val="002D3368"/>
    <w:rsid w:val="003417F0"/>
    <w:rsid w:val="003635D6"/>
    <w:rsid w:val="00372D16"/>
    <w:rsid w:val="003C787A"/>
    <w:rsid w:val="003D313E"/>
    <w:rsid w:val="00402604"/>
    <w:rsid w:val="00427A6E"/>
    <w:rsid w:val="004523D8"/>
    <w:rsid w:val="004D1FA7"/>
    <w:rsid w:val="00525D2B"/>
    <w:rsid w:val="00536723"/>
    <w:rsid w:val="00617CDC"/>
    <w:rsid w:val="00655D80"/>
    <w:rsid w:val="006672B4"/>
    <w:rsid w:val="00731ADD"/>
    <w:rsid w:val="007C68AC"/>
    <w:rsid w:val="007F1ACD"/>
    <w:rsid w:val="00803090"/>
    <w:rsid w:val="00863C03"/>
    <w:rsid w:val="00876E01"/>
    <w:rsid w:val="00877B57"/>
    <w:rsid w:val="00894E80"/>
    <w:rsid w:val="008B0841"/>
    <w:rsid w:val="008C1910"/>
    <w:rsid w:val="008C4F48"/>
    <w:rsid w:val="00924A2C"/>
    <w:rsid w:val="009312FD"/>
    <w:rsid w:val="009523D3"/>
    <w:rsid w:val="009526FE"/>
    <w:rsid w:val="009820F1"/>
    <w:rsid w:val="00984935"/>
    <w:rsid w:val="00994A1C"/>
    <w:rsid w:val="00A14F4E"/>
    <w:rsid w:val="00AB66D6"/>
    <w:rsid w:val="00B552F2"/>
    <w:rsid w:val="00B914F9"/>
    <w:rsid w:val="00B923E5"/>
    <w:rsid w:val="00B9408B"/>
    <w:rsid w:val="00BB5996"/>
    <w:rsid w:val="00BD5F9F"/>
    <w:rsid w:val="00C21AFF"/>
    <w:rsid w:val="00C87943"/>
    <w:rsid w:val="00CA3449"/>
    <w:rsid w:val="00D37DA5"/>
    <w:rsid w:val="00D84A85"/>
    <w:rsid w:val="00D93943"/>
    <w:rsid w:val="00D96921"/>
    <w:rsid w:val="00DA68EB"/>
    <w:rsid w:val="00DB0B50"/>
    <w:rsid w:val="00E27EB3"/>
    <w:rsid w:val="00E37F8B"/>
    <w:rsid w:val="00EA00B3"/>
    <w:rsid w:val="00EB29EA"/>
    <w:rsid w:val="00EB5FCC"/>
    <w:rsid w:val="00EC58A4"/>
    <w:rsid w:val="00ED5C9F"/>
    <w:rsid w:val="00F41608"/>
    <w:rsid w:val="00F6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A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16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1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A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16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16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s://wttc.org/Research/Economic-Impac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ttc.org/Research/Economic-Impact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_ws0409\&#1086;&#1073;&#1097;&#1072;&#1103;\&#1057;&#1041;&#1054;&#1056;&#1053;&#1048;&#1050;&#1048;%20&#1080;%20&#1074;&#1086;&#1087;&#1088;&#1086;&#1089;&#1085;&#1080;&#1082;&#1080;\1%20&#1041;&#1102;&#1083;&#1083;&#1077;&#1090;&#1077;&#1085;&#1100;%20&#1057;&#1077;&#1085;&#1090;&#1103;&#1073;&#1088;&#1100;%202021\2021.09.01_&#1041;&#1102;&#1083;&#1083;&#1077;&#1090;&#1077;&#1085;&#1100;%20&#1080;%20&#1087;&#1080;&#1089;&#1100;&#1084;&#1086;\(&#1055;&#1054;&#1057;&#1051;&#1045;&#1044;&#1053;&#1071;&#1071;%20&#1042;&#1045;&#1056;&#1057;&#1048;&#1071;).%201%20&#1057;&#1090;&#1072;&#1090;&#1073;&#1102;&#1083;&#1083;&#1077;&#1090;&#1077;&#1085;&#1100;%20&#1056;&#1086;&#1089;&#1089;&#1090;&#1072;&#1090;&#1072;%20&#1082;%20&#1042;&#1089;&#1077;&#1084;&#1080;&#1088;&#1085;&#1086;&#1084;&#1091;%20&#1076;&#1085;&#1102;%20&#1090;&#1091;&#1088;&#1080;&#1079;&#1084;&#1072;_v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_ws0409\&#1086;&#1073;&#1097;&#1072;&#1103;\&#1057;&#1041;&#1054;&#1056;&#1053;&#1048;&#1050;&#1048;%20&#1080;%20&#1074;&#1086;&#1087;&#1088;&#1086;&#1089;&#1085;&#1080;&#1082;&#1080;\1%20&#1041;&#1102;&#1083;&#1083;&#1077;&#1090;&#1077;&#1085;&#1100;%20&#1057;&#1077;&#1085;&#1090;&#1103;&#1073;&#1088;&#1100;%202021\2021.09.01_&#1041;&#1102;&#1083;&#1083;&#1077;&#1090;&#1077;&#1085;&#1100;%20&#1080;%20&#1087;&#1080;&#1089;&#1100;&#1084;&#1086;\(&#1055;&#1054;&#1057;&#1051;&#1045;&#1044;&#1053;&#1071;&#1071;%20&#1042;&#1045;&#1056;&#1057;&#1048;&#1071;).%201%20&#1057;&#1090;&#1072;&#1090;&#1073;&#1102;&#1083;&#1083;&#1077;&#1090;&#1077;&#1085;&#1100;%20&#1056;&#1086;&#1089;&#1089;&#1090;&#1072;&#1090;&#1072;%20&#1082;%20&#1042;&#1089;&#1077;&#1084;&#1080;&#1088;&#1085;&#1086;&#1084;&#1091;%20&#1076;&#1085;&#1102;%20&#1090;&#1091;&#1088;&#1080;&#1079;&#1084;&#1072;_v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_ws0409\&#1086;&#1073;&#1097;&#1072;&#1103;\&#1057;&#1041;&#1054;&#1056;&#1053;&#1048;&#1050;&#1048;%20&#1080;%20&#1074;&#1086;&#1087;&#1088;&#1086;&#1089;&#1085;&#1080;&#1082;&#1080;\1%20&#1041;&#1102;&#1083;&#1083;&#1077;&#1090;&#1077;&#1085;&#1100;%20&#1057;&#1077;&#1085;&#1090;&#1103;&#1073;&#1088;&#1100;%202021\2021.09.01_&#1041;&#1102;&#1083;&#1083;&#1077;&#1090;&#1077;&#1085;&#1100;%20&#1080;%20&#1087;&#1080;&#1089;&#1100;&#1084;&#1086;\(&#1055;&#1054;&#1057;&#1051;&#1045;&#1044;&#1053;&#1071;&#1071;%20&#1042;&#1045;&#1056;&#1057;&#1048;&#1071;).%201%20&#1057;&#1090;&#1072;&#1090;&#1073;&#1102;&#1083;&#1083;&#1077;&#1090;&#1077;&#1085;&#1100;%20&#1056;&#1086;&#1089;&#1089;&#1090;&#1072;&#1090;&#1072;%20&#1082;%20&#1042;&#1089;&#1077;&#1084;&#1080;&#1088;&#1085;&#1086;&#1084;&#1091;%20&#1076;&#1085;&#1102;%20&#1090;&#1091;&#1088;&#1080;&#1079;&#1084;&#1072;_v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_ws0409\&#1086;&#1073;&#1097;&#1072;&#1103;\&#1057;&#1041;&#1054;&#1056;&#1053;&#1048;&#1050;&#1048;%20&#1080;%20&#1074;&#1086;&#1087;&#1088;&#1086;&#1089;&#1085;&#1080;&#1082;&#1080;\1%20&#1041;&#1102;&#1083;&#1083;&#1077;&#1090;&#1077;&#1085;&#1100;%20&#1057;&#1077;&#1085;&#1090;&#1103;&#1073;&#1088;&#1100;%202021\2021.09.01_&#1041;&#1102;&#1083;&#1083;&#1077;&#1090;&#1077;&#1085;&#1100;%20&#1080;%20&#1087;&#1080;&#1089;&#1100;&#1084;&#1086;\(&#1055;&#1054;&#1057;&#1051;&#1045;&#1044;&#1053;&#1071;&#1071;%20&#1042;&#1045;&#1056;&#1057;&#1048;&#1071;).%201%20&#1057;&#1090;&#1072;&#1090;&#1073;&#1102;&#1083;&#1083;&#1077;&#1090;&#1077;&#1085;&#1100;%20&#1056;&#1086;&#1089;&#1089;&#1090;&#1072;&#1090;&#1072;%20&#1082;%20&#1042;&#1089;&#1077;&#1084;&#1080;&#1088;&#1085;&#1086;&#1084;&#1091;%20&#1076;&#1085;&#1102;%20&#1090;&#1091;&#1088;&#1080;&#1079;&#1084;&#1072;_v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_ws0409\&#1086;&#1073;&#1097;&#1072;&#1103;\&#1057;&#1041;&#1054;&#1056;&#1053;&#1048;&#1050;&#1048;%20&#1080;%20&#1074;&#1086;&#1087;&#1088;&#1086;&#1089;&#1085;&#1080;&#1082;&#1080;\1%20&#1041;&#1102;&#1083;&#1083;&#1077;&#1090;&#1077;&#1085;&#1100;%20&#1057;&#1077;&#1085;&#1090;&#1103;&#1073;&#1088;&#1100;%202021\2021.09.01_&#1041;&#1102;&#1083;&#1083;&#1077;&#1090;&#1077;&#1085;&#1100;%20&#1080;%20&#1087;&#1080;&#1089;&#1100;&#1084;&#1086;\(&#1055;&#1054;&#1057;&#1051;&#1045;&#1044;&#1053;&#1071;&#1071;%20&#1042;&#1045;&#1056;&#1057;&#1048;&#1071;).%201%20&#1057;&#1090;&#1072;&#1090;&#1073;&#1102;&#1083;&#1083;&#1077;&#1090;&#1077;&#1085;&#1100;%20&#1056;&#1086;&#1089;&#1089;&#1090;&#1072;&#1090;&#1072;%20&#1082;%20&#1042;&#1089;&#1077;&#1084;&#1080;&#1088;&#1085;&#1086;&#1084;&#1091;%20&#1076;&#1085;&#1102;%20&#1090;&#1091;&#1088;&#1080;&#1079;&#1084;&#1072;_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т1!$B$29</c:f>
              <c:strCache>
                <c:ptCount val="1"/>
                <c:pt idx="0">
                  <c:v>2019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-1.9723865877712046E-3"/>
                  <c:y val="7.53102166368193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8463833306199401E-2"/>
                </c:manualLayout>
              </c:layout>
              <c:showVal val="1"/>
            </c:dLbl>
            <c:dLbl>
              <c:idx val="2"/>
              <c:layout>
                <c:manualLayout>
                  <c:x val="1.9723865877712046E-3"/>
                  <c:y val="6.846383330619940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т1!$A$30:$A$32</c:f>
              <c:strCache>
                <c:ptCount val="3"/>
                <c:pt idx="0">
                  <c:v>Вклад туризма в мировой ВВП, в % от мирового ВВП</c:v>
                </c:pt>
                <c:pt idx="1">
                  <c:v>Число рабочих мест в сфере туризма, в % от общего числа рабочих мест в мире</c:v>
                </c:pt>
                <c:pt idx="2">
                  <c:v>Инвестиции в основной капитал в сфере туризма, 
в % от общего объема инвестиций</c:v>
                </c:pt>
              </c:strCache>
            </c:strRef>
          </c:cat>
          <c:val>
            <c:numRef>
              <c:f>т1!$B$30:$B$32</c:f>
              <c:numCache>
                <c:formatCode>0.0</c:formatCode>
                <c:ptCount val="3"/>
                <c:pt idx="0" formatCode="General">
                  <c:v>10.4</c:v>
                </c:pt>
                <c:pt idx="1">
                  <c:v>10</c:v>
                </c:pt>
                <c:pt idx="2" formatCode="General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т1!$C$29</c:f>
              <c:strCache>
                <c:ptCount val="1"/>
                <c:pt idx="0">
                  <c:v>2020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6.846383330619940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81939887676186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0406416408894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т1!$A$30:$A$32</c:f>
              <c:strCache>
                <c:ptCount val="3"/>
                <c:pt idx="0">
                  <c:v>Вклад туризма в мировой ВВП, в % от мирового ВВП</c:v>
                </c:pt>
                <c:pt idx="1">
                  <c:v>Число рабочих мест в сфере туризма, в % от общего числа рабочих мест в мире</c:v>
                </c:pt>
                <c:pt idx="2">
                  <c:v>Инвестиции в основной капитал в сфере туризма, 
в % от общего объема инвестиций</c:v>
                </c:pt>
              </c:strCache>
            </c:strRef>
          </c:cat>
          <c:val>
            <c:numRef>
              <c:f>т1!$C$30:$C$32</c:f>
              <c:numCache>
                <c:formatCode>0.0</c:formatCode>
                <c:ptCount val="3"/>
                <c:pt idx="0" formatCode="General">
                  <c:v>5.5</c:v>
                </c:pt>
                <c:pt idx="1">
                  <c:v>8.9</c:v>
                </c:pt>
                <c:pt idx="2" formatCode="General">
                  <c:v>3.2</c:v>
                </c:pt>
              </c:numCache>
            </c:numRef>
          </c:val>
        </c:ser>
        <c:axId val="165874304"/>
        <c:axId val="169161088"/>
      </c:barChart>
      <c:catAx>
        <c:axId val="1658743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161088"/>
        <c:crosses val="autoZero"/>
        <c:auto val="1"/>
        <c:lblAlgn val="ctr"/>
        <c:lblOffset val="100"/>
      </c:catAx>
      <c:valAx>
        <c:axId val="169161088"/>
        <c:scaling>
          <c:orientation val="minMax"/>
          <c:max val="20"/>
        </c:scaling>
        <c:axPos val="l"/>
        <c:majorGridlines/>
        <c:numFmt formatCode="General" sourceLinked="1"/>
        <c:tickLblPos val="nextTo"/>
        <c:crossAx val="16587430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600"/>
              <a:t>Туризм в России в </a:t>
            </a:r>
            <a:r>
              <a:rPr lang="en-US" sz="1600"/>
              <a:t>I </a:t>
            </a:r>
            <a:r>
              <a:rPr lang="ru-RU" sz="1600"/>
              <a:t>и </a:t>
            </a:r>
            <a:r>
              <a:rPr lang="en-US" sz="1600"/>
              <a:t>II </a:t>
            </a:r>
            <a:r>
              <a:rPr lang="ru-RU" sz="1600"/>
              <a:t>кварталах 202</a:t>
            </a:r>
            <a:r>
              <a:rPr lang="en-US" sz="1600"/>
              <a:t>1</a:t>
            </a:r>
            <a:r>
              <a:rPr lang="ru-RU" sz="1600"/>
              <a:t> года</a:t>
            </a:r>
            <a:endParaRPr lang="en-US" sz="1600"/>
          </a:p>
          <a:p>
            <a:pPr>
              <a:defRPr/>
            </a:pPr>
            <a:r>
              <a:rPr lang="ru-RU" sz="1200" b="0"/>
              <a:t>в % к  аналогичному периоду предыдущего года</a:t>
            </a:r>
          </a:p>
          <a:p>
            <a:pPr>
              <a:defRPr/>
            </a:pPr>
            <a:r>
              <a:rPr lang="ru-RU" sz="1200" b="0"/>
              <a:t>прирост (снижение)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't3'!$H$3</c:f>
              <c:strCache>
                <c:ptCount val="1"/>
                <c:pt idx="0">
                  <c:v>I квартал 2021 г.</c:v>
                </c:pt>
              </c:strCache>
            </c:strRef>
          </c:tx>
          <c:spPr>
            <a:solidFill>
              <a:schemeClr val="accent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4"/>
              <c:layout>
                <c:manualLayout>
                  <c:x val="0"/>
                  <c:y val="0"/>
                </c:manualLayout>
              </c:layout>
              <c:showVal val="1"/>
            </c:dLbl>
            <c:showVal val="1"/>
          </c:dLbls>
          <c:cat>
            <c:strRef>
              <c:f>('t3'!$G$4,'t3'!$G$7:$G$11,'t3'!$G$14:$G$17)</c:f>
              <c:strCache>
                <c:ptCount val="10"/>
                <c:pt idx="0">
                  <c:v>Численность лиц, размещенных  
в коллективных средствах размещения</c:v>
                </c:pt>
                <c:pt idx="1">
                  <c:v>Число ночевок в коллективных средствах размещения</c:v>
                </c:pt>
                <c:pt idx="2">
                  <c:v>Доходы коллективных средств размещения от предоставляемых услуг (без НДС, акцизов и аналогичных платежей)</c:v>
                </c:pt>
                <c:pt idx="3">
                  <c:v>Число въездных туристских поездок</c:v>
                </c:pt>
                <c:pt idx="4">
                  <c:v>Число выездных туристских поездок</c:v>
                </c:pt>
                <c:pt idx="5">
                  <c:v>Пассажирооборот</c:v>
                </c:pt>
                <c:pt idx="6">
                  <c:v>Объем услуг туристических агентств, туроператоров и прочих услуг по бронированию и сопутствующих им услуг</c:v>
                </c:pt>
                <c:pt idx="7">
                  <c:v>Объем услуг санаторно-курортных организаций</c:v>
                </c:pt>
                <c:pt idx="8">
                  <c:v>Объем услуг гостиниц и аналогичных услуг по предоставлению временного жилья</c:v>
                </c:pt>
                <c:pt idx="9">
                  <c:v>Экспорт услуг по статье «Поездки»</c:v>
                </c:pt>
              </c:strCache>
            </c:strRef>
          </c:cat>
          <c:val>
            <c:numRef>
              <c:f>('t3'!$H$4,'t3'!$H$7:$H$11,'t3'!$H$14:$H$17)</c:f>
              <c:numCache>
                <c:formatCode>0.00%</c:formatCode>
                <c:ptCount val="10"/>
                <c:pt idx="0">
                  <c:v>-0.12477260940820209</c:v>
                </c:pt>
                <c:pt idx="1">
                  <c:v>-9.8398758329708902E-2</c:v>
                </c:pt>
                <c:pt idx="2">
                  <c:v>-3.1316861661297699E-2</c:v>
                </c:pt>
                <c:pt idx="3">
                  <c:v>-0.69366583110445124</c:v>
                </c:pt>
                <c:pt idx="4">
                  <c:v>-0.67832436680546704</c:v>
                </c:pt>
                <c:pt idx="5">
                  <c:v>-0.3359754574112131</c:v>
                </c:pt>
                <c:pt idx="6">
                  <c:v>-0.3768545994065281</c:v>
                </c:pt>
                <c:pt idx="7">
                  <c:v>-0.12334801762114597</c:v>
                </c:pt>
                <c:pt idx="8">
                  <c:v>-5.0522648083623715E-2</c:v>
                </c:pt>
                <c:pt idx="9">
                  <c:v>-0.72177507751088366</c:v>
                </c:pt>
              </c:numCache>
            </c:numRef>
          </c:val>
        </c:ser>
        <c:ser>
          <c:idx val="1"/>
          <c:order val="1"/>
          <c:tx>
            <c:strRef>
              <c:f>'t3'!$I$3</c:f>
              <c:strCache>
                <c:ptCount val="1"/>
                <c:pt idx="0">
                  <c:v>II квартал 2021 г.</c:v>
                </c:pt>
              </c:strCache>
            </c:strRef>
          </c:tx>
          <c:spPr>
            <a:solidFill>
              <a:schemeClr val="accent2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4"/>
              <c:layout>
                <c:manualLayout>
                  <c:x val="2.7322404371585198E-3"/>
                  <c:y val="8.0321285140562242E-3"/>
                </c:manualLayout>
              </c:layout>
              <c:showVal val="1"/>
            </c:dLbl>
            <c:showVal val="1"/>
          </c:dLbls>
          <c:cat>
            <c:strRef>
              <c:f>('t3'!$G$4,'t3'!$G$7:$G$11,'t3'!$G$14:$G$17)</c:f>
              <c:strCache>
                <c:ptCount val="10"/>
                <c:pt idx="0">
                  <c:v>Численность лиц, размещенных  
в коллективных средствах размещения</c:v>
                </c:pt>
                <c:pt idx="1">
                  <c:v>Число ночевок в коллективных средствах размещения</c:v>
                </c:pt>
                <c:pt idx="2">
                  <c:v>Доходы коллективных средств размещения от предоставляемых услуг (без НДС, акцизов и аналогичных платежей)</c:v>
                </c:pt>
                <c:pt idx="3">
                  <c:v>Число въездных туристских поездок</c:v>
                </c:pt>
                <c:pt idx="4">
                  <c:v>Число выездных туристских поездок</c:v>
                </c:pt>
                <c:pt idx="5">
                  <c:v>Пассажирооборот</c:v>
                </c:pt>
                <c:pt idx="6">
                  <c:v>Объем услуг туристических агентств, туроператоров и прочих услуг по бронированию и сопутствующих им услуг</c:v>
                </c:pt>
                <c:pt idx="7">
                  <c:v>Объем услуг санаторно-курортных организаций</c:v>
                </c:pt>
                <c:pt idx="8">
                  <c:v>Объем услуг гостиниц и аналогичных услуг по предоставлению временного жилья</c:v>
                </c:pt>
                <c:pt idx="9">
                  <c:v>Экспорт услуг по статье «Поездки»</c:v>
                </c:pt>
              </c:strCache>
            </c:strRef>
          </c:cat>
          <c:val>
            <c:numRef>
              <c:f>('t3'!$I$4,'t3'!$I$7:$I$11,'t3'!$I$14:$I$17)</c:f>
              <c:numCache>
                <c:formatCode>0.00%</c:formatCode>
                <c:ptCount val="10"/>
                <c:pt idx="0">
                  <c:v>6.2653303310972479</c:v>
                </c:pt>
                <c:pt idx="1">
                  <c:v>5.7166045231194298</c:v>
                </c:pt>
                <c:pt idx="2">
                  <c:v>7.8062587074702803</c:v>
                </c:pt>
                <c:pt idx="3">
                  <c:v>23.856397769460905</c:v>
                </c:pt>
                <c:pt idx="4">
                  <c:v>30.01066037492139</c:v>
                </c:pt>
                <c:pt idx="5">
                  <c:v>2.53538365034172</c:v>
                </c:pt>
                <c:pt idx="6">
                  <c:v>6.6923076923076898</c:v>
                </c:pt>
                <c:pt idx="7">
                  <c:v>10.793103448275897</c:v>
                </c:pt>
                <c:pt idx="8">
                  <c:v>5.4862385321100904</c:v>
                </c:pt>
                <c:pt idx="9">
                  <c:v>0.605563876407611</c:v>
                </c:pt>
              </c:numCache>
            </c:numRef>
          </c:val>
        </c:ser>
        <c:gapWidth val="154"/>
        <c:overlap val="11"/>
        <c:axId val="169170432"/>
        <c:axId val="169171968"/>
      </c:barChart>
      <c:catAx>
        <c:axId val="169170432"/>
        <c:scaling>
          <c:orientation val="minMax"/>
        </c:scaling>
        <c:axPos val="b"/>
        <c:tickLblPos val="high"/>
        <c:txPr>
          <a:bodyPr rot="-5400000" vert="horz" anchor="b" anchorCtr="1"/>
          <a:lstStyle/>
          <a:p>
            <a:pPr>
              <a:defRPr sz="1050"/>
            </a:pPr>
            <a:endParaRPr lang="ru-RU"/>
          </a:p>
        </c:txPr>
        <c:crossAx val="169171968"/>
        <c:crosses val="autoZero"/>
        <c:auto val="1"/>
        <c:lblAlgn val="ctr"/>
        <c:lblOffset val="100"/>
      </c:catAx>
      <c:valAx>
        <c:axId val="169171968"/>
        <c:scaling>
          <c:orientation val="minMax"/>
          <c:max val="31.6"/>
          <c:min val="-1"/>
        </c:scaling>
        <c:axPos val="l"/>
        <c:majorGridlines/>
        <c:numFmt formatCode="0%" sourceLinked="0"/>
        <c:tickLblPos val="nextTo"/>
        <c:crossAx val="169170432"/>
        <c:crosses val="autoZero"/>
        <c:crossBetween val="between"/>
        <c:majorUnit val="5"/>
        <c:minorUnit val="1"/>
      </c:valAx>
    </c:plotArea>
    <c:legend>
      <c:legendPos val="r"/>
      <c:layout>
        <c:manualLayout>
          <c:xMode val="edge"/>
          <c:yMode val="edge"/>
          <c:x val="0.83197893443403026"/>
          <c:y val="0.62083899864704761"/>
          <c:w val="0.16802106556596991"/>
          <c:h val="0.2250738557274728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Прирост (снижение) численности лиц, </a:t>
            </a:r>
            <a:b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размещенных в коллективных средствах размещения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России и странах Европы</a:t>
            </a: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%  к  аналогичному периоду предыдущего года </a:t>
            </a:r>
          </a:p>
        </c:rich>
      </c:tx>
    </c:title>
    <c:plotArea>
      <c:layout>
        <c:manualLayout>
          <c:layoutTarget val="inner"/>
          <c:xMode val="edge"/>
          <c:yMode val="edge"/>
          <c:x val="8.2088653260971839E-2"/>
          <c:y val="0.35943294791909003"/>
          <c:w val="0.88934570000562707"/>
          <c:h val="0.56003220254745167"/>
        </c:manualLayout>
      </c:layout>
      <c:barChart>
        <c:barDir val="col"/>
        <c:grouping val="clustered"/>
        <c:ser>
          <c:idx val="0"/>
          <c:order val="0"/>
          <c:tx>
            <c:strRef>
              <c:f>'t4'!$H$3</c:f>
              <c:strCache>
                <c:ptCount val="1"/>
                <c:pt idx="0">
                  <c:v>I квартал 2021 г.</c:v>
                </c:pt>
              </c:strCache>
            </c:strRef>
          </c:tx>
          <c:spPr>
            <a:solidFill>
              <a:schemeClr val="accent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2.8717972520828751E-3"/>
                  <c:y val="4.6084763598098644E-3"/>
                </c:manualLayout>
              </c:layout>
              <c:showVal val="1"/>
            </c:dLbl>
            <c:dLbl>
              <c:idx val="1"/>
              <c:layout>
                <c:manualLayout>
                  <c:x val="-1.3283176616253937E-3"/>
                  <c:y val="-1.0433360728435887E-2"/>
                </c:manualLayout>
              </c:layout>
              <c:showVal val="1"/>
            </c:dLbl>
            <c:dLbl>
              <c:idx val="2"/>
              <c:layout>
                <c:manualLayout>
                  <c:x val="-1.0970648781723519E-3"/>
                  <c:y val="-1.2521840227950042E-2"/>
                </c:manualLayout>
              </c:layout>
              <c:showVal val="1"/>
            </c:dLbl>
            <c:dLbl>
              <c:idx val="3"/>
              <c:layout>
                <c:manualLayout>
                  <c:x val="1.4253789836717343E-3"/>
                  <c:y val="-8.2397260971705712E-3"/>
                </c:manualLayout>
              </c:layout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1.3283176616254058E-3"/>
                  <c:y val="-4.1733442913743576E-3"/>
                </c:manualLayout>
              </c:layout>
              <c:showVal val="1"/>
            </c:dLbl>
            <c:dLbl>
              <c:idx val="6"/>
              <c:layout>
                <c:manualLayout>
                  <c:x val="9.9730026281322237E-4"/>
                  <c:y val="-4.9937948563157078E-3"/>
                </c:manualLayout>
              </c:layout>
              <c:showVal val="1"/>
            </c:dLbl>
            <c:dLbl>
              <c:idx val="7"/>
              <c:delete val="1"/>
            </c:dLbl>
            <c:dLbl>
              <c:idx val="8"/>
              <c:layout>
                <c:manualLayout>
                  <c:x val="0"/>
                  <c:y val="8.3466885827487153E-3"/>
                </c:manualLayout>
              </c:layout>
              <c:showVal val="1"/>
            </c:dLbl>
            <c:dLbl>
              <c:idx val="12"/>
              <c:layout>
                <c:manualLayout>
                  <c:x val="-1.2170930640629006E-3"/>
                  <c:y val="6.8263790222885341E-4"/>
                </c:manualLayout>
              </c:layout>
              <c:showVal val="1"/>
            </c:dLbl>
            <c:dLbl>
              <c:idx val="13"/>
              <c:layout>
                <c:manualLayout>
                  <c:x val="7.7884766157116302E-4"/>
                  <c:y val="-6.5199670084382291E-3"/>
                </c:manualLayout>
              </c:layout>
              <c:showVal val="1"/>
            </c:dLbl>
            <c:dLbl>
              <c:idx val="15"/>
              <c:layout>
                <c:manualLayout>
                  <c:x val="-2.2164993554595249E-3"/>
                  <c:y val="-2.903584275560291E-3"/>
                </c:manualLayout>
              </c:layout>
              <c:showVal val="1"/>
            </c:dLbl>
            <c:dLbl>
              <c:idx val="16"/>
              <c:layout>
                <c:manualLayout>
                  <c:x val="1.3402000076199947E-6"/>
                  <c:y val="-7.6440785337596384E-3"/>
                </c:manualLayout>
              </c:layout>
              <c:showVal val="1"/>
            </c:dLbl>
            <c:dLbl>
              <c:idx val="17"/>
              <c:layout>
                <c:manualLayout>
                  <c:x val="-6.8850877891724949E-6"/>
                  <c:y val="-2.1392698474019718E-4"/>
                </c:manualLayout>
              </c:layout>
              <c:showVal val="1"/>
            </c:dLbl>
            <c:dLbl>
              <c:idx val="18"/>
              <c:layout>
                <c:manualLayout>
                  <c:x val="1.4342058085335253E-3"/>
                  <c:y val="3.2774259096905309E-7"/>
                </c:manualLayout>
              </c:layout>
              <c:showVal val="1"/>
            </c:dLbl>
            <c:dLbl>
              <c:idx val="19"/>
              <c:layout>
                <c:manualLayout>
                  <c:x val="-3.3469176752921852E-6"/>
                  <c:y val="8.1108750241452622E-3"/>
                </c:manualLayout>
              </c:layout>
              <c:showVal val="1"/>
            </c:dLbl>
            <c:dLbl>
              <c:idx val="20"/>
              <c:layout>
                <c:manualLayout>
                  <c:x val="1.3283176616254058E-3"/>
                  <c:y val="-8.4682742038359976E-4"/>
                </c:manualLayout>
              </c:layout>
              <c:showVal val="1"/>
            </c:dLbl>
            <c:dLbl>
              <c:idx val="21"/>
              <c:layout>
                <c:manualLayout>
                  <c:x val="1.4306085807648443E-3"/>
                  <c:y val="-6.2618237908885089E-3"/>
                </c:manualLayout>
              </c:layout>
              <c:showVal val="1"/>
            </c:dLbl>
            <c:dLbl>
              <c:idx val="23"/>
              <c:layout>
                <c:manualLayout>
                  <c:x val="-9.5626219205003611E-8"/>
                  <c:y val="7.023372609619472E-3"/>
                </c:manualLayout>
              </c:layout>
              <c:showVal val="1"/>
            </c:dLbl>
            <c:dLbl>
              <c:idx val="24"/>
              <c:layout>
                <c:manualLayout>
                  <c:x val="1.12342204752114E-3"/>
                  <c:y val="-6.5229042664394416E-4"/>
                </c:manualLayout>
              </c:layout>
              <c:showVal val="1"/>
            </c:dLbl>
            <c:dLbl>
              <c:idx val="25"/>
              <c:delete val="1"/>
            </c:dLbl>
            <c:dLbl>
              <c:idx val="26"/>
              <c:layout>
                <c:manualLayout>
                  <c:x val="0"/>
                  <c:y val="8.3466885827487153E-3"/>
                </c:manualLayout>
              </c:layout>
              <c:showVal val="1"/>
            </c:dLbl>
            <c:dLbl>
              <c:idx val="27"/>
              <c:layout>
                <c:manualLayout>
                  <c:x val="0"/>
                  <c:y val="4.1733442913743576E-3"/>
                </c:manualLayout>
              </c:layout>
              <c:showVal val="1"/>
            </c:dLbl>
            <c:dLbl>
              <c:idx val="28"/>
              <c:layout>
                <c:manualLayout>
                  <c:x val="-2.1640213426237428E-4"/>
                  <c:y val="6.8003911531774059E-3"/>
                </c:manualLayout>
              </c:layout>
              <c:showVal val="1"/>
            </c:dLbl>
            <c:dLbl>
              <c:idx val="29"/>
              <c:layout>
                <c:manualLayout>
                  <c:x val="1.2177999027098842E-3"/>
                  <c:y val="5.7134923700985123E-3"/>
                </c:manualLayout>
              </c:layout>
              <c:showVal val="1"/>
            </c:dLbl>
            <c:dLbl>
              <c:idx val="30"/>
              <c:delete val="1"/>
            </c:dLbl>
            <c:dLbl>
              <c:idx val="31"/>
              <c:layout>
                <c:manualLayout>
                  <c:x val="0"/>
                  <c:y val="-6.6805099478462427E-3"/>
                </c:manualLayout>
              </c:layout>
              <c:showVal val="1"/>
            </c:dLbl>
            <c:dLbl>
              <c:idx val="32"/>
              <c:delete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't4'!$G$4:$G$33</c:f>
              <c:strCache>
                <c:ptCount val="30"/>
                <c:pt idx="0">
                  <c:v>Россия</c:v>
                </c:pt>
                <c:pt idx="1">
                  <c:v>Бельгия</c:v>
                </c:pt>
                <c:pt idx="2">
                  <c:v>Мальта</c:v>
                </c:pt>
                <c:pt idx="3">
                  <c:v>Испания</c:v>
                </c:pt>
                <c:pt idx="4">
                  <c:v>Греция</c:v>
                </c:pt>
                <c:pt idx="5">
                  <c:v>Португалия</c:v>
                </c:pt>
                <c:pt idx="6">
                  <c:v>Венгрия</c:v>
                </c:pt>
                <c:pt idx="7">
                  <c:v>Болгария</c:v>
                </c:pt>
                <c:pt idx="8">
                  <c:v>Италия</c:v>
                </c:pt>
                <c:pt idx="9">
                  <c:v>Румыния</c:v>
                </c:pt>
                <c:pt idx="10">
                  <c:v>Словакия</c:v>
                </c:pt>
                <c:pt idx="11">
                  <c:v>Хорватия</c:v>
                </c:pt>
                <c:pt idx="12">
                  <c:v>Словения</c:v>
                </c:pt>
                <c:pt idx="13">
                  <c:v>Чехия</c:v>
                </c:pt>
                <c:pt idx="14">
                  <c:v>Люксембург</c:v>
                </c:pt>
                <c:pt idx="15">
                  <c:v>Австрия</c:v>
                </c:pt>
                <c:pt idx="16">
                  <c:v>Исландия</c:v>
                </c:pt>
                <c:pt idx="17">
                  <c:v>Польша</c:v>
                </c:pt>
                <c:pt idx="18">
                  <c:v>Эстония</c:v>
                </c:pt>
                <c:pt idx="19">
                  <c:v>Латвия</c:v>
                </c:pt>
                <c:pt idx="20">
                  <c:v>Лихтенштейн</c:v>
                </c:pt>
                <c:pt idx="21">
                  <c:v>Германия</c:v>
                </c:pt>
                <c:pt idx="22">
                  <c:v>Финляндия</c:v>
                </c:pt>
                <c:pt idx="23">
                  <c:v>Нидерланды</c:v>
                </c:pt>
                <c:pt idx="24">
                  <c:v>Литва</c:v>
                </c:pt>
                <c:pt idx="25">
                  <c:v>Швейцария</c:v>
                </c:pt>
                <c:pt idx="26">
                  <c:v>Дания</c:v>
                </c:pt>
                <c:pt idx="27">
                  <c:v>Норвегия</c:v>
                </c:pt>
                <c:pt idx="28">
                  <c:v>Швеция</c:v>
                </c:pt>
                <c:pt idx="29">
                  <c:v>Кипр</c:v>
                </c:pt>
              </c:strCache>
            </c:strRef>
          </c:cat>
          <c:val>
            <c:numRef>
              <c:f>'t4'!$H$4:$H$33</c:f>
              <c:numCache>
                <c:formatCode>0.0%</c:formatCode>
                <c:ptCount val="30"/>
                <c:pt idx="0">
                  <c:v>-0.12477260940820178</c:v>
                </c:pt>
                <c:pt idx="1">
                  <c:v>-0.9374313547586075</c:v>
                </c:pt>
                <c:pt idx="2">
                  <c:v>-0.73177938279711119</c:v>
                </c:pt>
                <c:pt idx="3">
                  <c:v>-0.71781451941549779</c:v>
                </c:pt>
                <c:pt idx="4">
                  <c:v>0</c:v>
                </c:pt>
                <c:pt idx="5">
                  <c:v>-0.78282000722081846</c:v>
                </c:pt>
                <c:pt idx="6">
                  <c:v>-0.89735461303017083</c:v>
                </c:pt>
                <c:pt idx="7">
                  <c:v>0</c:v>
                </c:pt>
                <c:pt idx="8">
                  <c:v>-0.70306215390567706</c:v>
                </c:pt>
                <c:pt idx="9">
                  <c:v>-7.2466627211152893E-2</c:v>
                </c:pt>
                <c:pt idx="10">
                  <c:v>-0.90353697749196127</c:v>
                </c:pt>
                <c:pt idx="11">
                  <c:v>-0.46201061712010627</c:v>
                </c:pt>
                <c:pt idx="12">
                  <c:v>-0.90550774526678113</c:v>
                </c:pt>
                <c:pt idx="13">
                  <c:v>-0.91114823336590312</c:v>
                </c:pt>
                <c:pt idx="14">
                  <c:v>-0.38270270270270285</c:v>
                </c:pt>
                <c:pt idx="15">
                  <c:v>-0.9374313547586075</c:v>
                </c:pt>
                <c:pt idx="16">
                  <c:v>-0.81054656194903008</c:v>
                </c:pt>
                <c:pt idx="17">
                  <c:v>-0.7185113128692896</c:v>
                </c:pt>
                <c:pt idx="18">
                  <c:v>-0.54667155694113345</c:v>
                </c:pt>
                <c:pt idx="19">
                  <c:v>-0.58987183494842155</c:v>
                </c:pt>
                <c:pt idx="20">
                  <c:v>-0.42011834319526636</c:v>
                </c:pt>
                <c:pt idx="21">
                  <c:v>-0.81769136124678443</c:v>
                </c:pt>
                <c:pt idx="22">
                  <c:v>-0.5288929302114117</c:v>
                </c:pt>
                <c:pt idx="23">
                  <c:v>-0.61152012596037497</c:v>
                </c:pt>
                <c:pt idx="24">
                  <c:v>-0.7624031007751938</c:v>
                </c:pt>
                <c:pt idx="25">
                  <c:v>0</c:v>
                </c:pt>
                <c:pt idx="26">
                  <c:v>-0.71188617725521197</c:v>
                </c:pt>
                <c:pt idx="27">
                  <c:v>-0.62071624070004983</c:v>
                </c:pt>
                <c:pt idx="28">
                  <c:v>-0.47315385447075337</c:v>
                </c:pt>
                <c:pt idx="29">
                  <c:v>-0.63176432917066916</c:v>
                </c:pt>
              </c:numCache>
            </c:numRef>
          </c:val>
        </c:ser>
        <c:ser>
          <c:idx val="1"/>
          <c:order val="1"/>
          <c:tx>
            <c:strRef>
              <c:f>'t4'!$I$3</c:f>
              <c:strCache>
                <c:ptCount val="1"/>
                <c:pt idx="0">
                  <c:v>II квартал 2021 г. 
</c:v>
                </c:pt>
              </c:strCache>
            </c:strRef>
          </c:tx>
          <c:spPr>
            <a:solidFill>
              <a:schemeClr val="accent2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23"/>
              <c:layout>
                <c:manualLayout>
                  <c:x val="9.7387099854176999E-17"/>
                  <c:y val="-6.2597809076682335E-3"/>
                </c:manualLayout>
              </c:layout>
              <c:showVal val="1"/>
            </c:dLbl>
            <c:dLbl>
              <c:idx val="24"/>
              <c:layout>
                <c:manualLayout>
                  <c:x val="1.5306751994647065E-3"/>
                  <c:y val="5.3599497245942887E-2"/>
                </c:manualLayout>
              </c:layout>
              <c:showVal val="1"/>
            </c:dLbl>
            <c:dLbl>
              <c:idx val="25"/>
              <c:layout>
                <c:manualLayout>
                  <c:x val="-2.6561470652820812E-3"/>
                  <c:y val="4.0754295384438461E-3"/>
                </c:manualLayout>
              </c:layout>
              <c:showVal val="1"/>
            </c:dLbl>
            <c:dLbl>
              <c:idx val="28"/>
              <c:layout>
                <c:manualLayout>
                  <c:x val="-1.3280212483399729E-3"/>
                  <c:y val="4.5905552885701487E-2"/>
                </c:manualLayout>
              </c:layout>
              <c:showVal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't4'!$G$4:$G$33</c:f>
              <c:strCache>
                <c:ptCount val="30"/>
                <c:pt idx="0">
                  <c:v>Россия</c:v>
                </c:pt>
                <c:pt idx="1">
                  <c:v>Бельгия</c:v>
                </c:pt>
                <c:pt idx="2">
                  <c:v>Мальта</c:v>
                </c:pt>
                <c:pt idx="3">
                  <c:v>Испания</c:v>
                </c:pt>
                <c:pt idx="4">
                  <c:v>Греция</c:v>
                </c:pt>
                <c:pt idx="5">
                  <c:v>Португалия</c:v>
                </c:pt>
                <c:pt idx="6">
                  <c:v>Венгрия</c:v>
                </c:pt>
                <c:pt idx="7">
                  <c:v>Болгария</c:v>
                </c:pt>
                <c:pt idx="8">
                  <c:v>Италия</c:v>
                </c:pt>
                <c:pt idx="9">
                  <c:v>Румыния</c:v>
                </c:pt>
                <c:pt idx="10">
                  <c:v>Словакия</c:v>
                </c:pt>
                <c:pt idx="11">
                  <c:v>Хорватия</c:v>
                </c:pt>
                <c:pt idx="12">
                  <c:v>Словения</c:v>
                </c:pt>
                <c:pt idx="13">
                  <c:v>Чехия</c:v>
                </c:pt>
                <c:pt idx="14">
                  <c:v>Люксембург</c:v>
                </c:pt>
                <c:pt idx="15">
                  <c:v>Австрия</c:v>
                </c:pt>
                <c:pt idx="16">
                  <c:v>Исландия</c:v>
                </c:pt>
                <c:pt idx="17">
                  <c:v>Польша</c:v>
                </c:pt>
                <c:pt idx="18">
                  <c:v>Эстония</c:v>
                </c:pt>
                <c:pt idx="19">
                  <c:v>Латвия</c:v>
                </c:pt>
                <c:pt idx="20">
                  <c:v>Лихтенштейн</c:v>
                </c:pt>
                <c:pt idx="21">
                  <c:v>Германия</c:v>
                </c:pt>
                <c:pt idx="22">
                  <c:v>Финляндия</c:v>
                </c:pt>
                <c:pt idx="23">
                  <c:v>Нидерланды</c:v>
                </c:pt>
                <c:pt idx="24">
                  <c:v>Литва</c:v>
                </c:pt>
                <c:pt idx="25">
                  <c:v>Швейцария</c:v>
                </c:pt>
                <c:pt idx="26">
                  <c:v>Дания</c:v>
                </c:pt>
                <c:pt idx="27">
                  <c:v>Норвегия</c:v>
                </c:pt>
                <c:pt idx="28">
                  <c:v>Швеция</c:v>
                </c:pt>
                <c:pt idx="29">
                  <c:v>Кипр</c:v>
                </c:pt>
              </c:strCache>
            </c:strRef>
          </c:cat>
          <c:val>
            <c:numRef>
              <c:f>'t4'!$I$4:$I$33</c:f>
              <c:numCache>
                <c:formatCode>0.0%</c:formatCode>
                <c:ptCount val="30"/>
                <c:pt idx="0">
                  <c:v>6.2653303310972479</c:v>
                </c:pt>
                <c:pt idx="1">
                  <c:v>2.0341452805567637</c:v>
                </c:pt>
                <c:pt idx="2">
                  <c:v>7.3604651162790695</c:v>
                </c:pt>
                <c:pt idx="3">
                  <c:v>7.6861469300839955</c:v>
                </c:pt>
                <c:pt idx="4">
                  <c:v>3.891472868217055</c:v>
                </c:pt>
                <c:pt idx="5">
                  <c:v>2.9767567567567572</c:v>
                </c:pt>
                <c:pt idx="6">
                  <c:v>0.78354455843894588</c:v>
                </c:pt>
                <c:pt idx="7">
                  <c:v>1.6037037037037041</c:v>
                </c:pt>
                <c:pt idx="8">
                  <c:v>2.278448192303963</c:v>
                </c:pt>
                <c:pt idx="9">
                  <c:v>3.8341982355993771</c:v>
                </c:pt>
                <c:pt idx="10">
                  <c:v>0.9337690631808282</c:v>
                </c:pt>
                <c:pt idx="11">
                  <c:v>1.31701090740311</c:v>
                </c:pt>
                <c:pt idx="12">
                  <c:v>0.99189502122732509</c:v>
                </c:pt>
                <c:pt idx="13">
                  <c:v>0.51326579835986508</c:v>
                </c:pt>
                <c:pt idx="14">
                  <c:v>2.1812191103789131</c:v>
                </c:pt>
                <c:pt idx="15">
                  <c:v>0.72193979551036735</c:v>
                </c:pt>
                <c:pt idx="16">
                  <c:v>0.86017628205128205</c:v>
                </c:pt>
                <c:pt idx="17">
                  <c:v>1.0881530372524892</c:v>
                </c:pt>
                <c:pt idx="18">
                  <c:v>0.71134020618556715</c:v>
                </c:pt>
                <c:pt idx="19">
                  <c:v>0.44555035128805598</c:v>
                </c:pt>
                <c:pt idx="20">
                  <c:v>1.4642857142857149</c:v>
                </c:pt>
                <c:pt idx="21">
                  <c:v>0.11406024724684802</c:v>
                </c:pt>
                <c:pt idx="22">
                  <c:v>1.1334099323375459</c:v>
                </c:pt>
                <c:pt idx="23">
                  <c:v>1.1688752511812313</c:v>
                </c:pt>
                <c:pt idx="24">
                  <c:v>-0.26334519572953741</c:v>
                </c:pt>
                <c:pt idx="25">
                  <c:v>0.7560298102981039</c:v>
                </c:pt>
                <c:pt idx="26">
                  <c:v>9.2395167022032654E-2</c:v>
                </c:pt>
                <c:pt idx="27">
                  <c:v>0.16241068654861768</c:v>
                </c:pt>
                <c:pt idx="28">
                  <c:v>-0.18476095617529889</c:v>
                </c:pt>
                <c:pt idx="29">
                  <c:v>0</c:v>
                </c:pt>
              </c:numCache>
            </c:numRef>
          </c:val>
        </c:ser>
        <c:gapWidth val="138"/>
        <c:overlap val="46"/>
        <c:axId val="169412096"/>
        <c:axId val="169413632"/>
      </c:barChart>
      <c:catAx>
        <c:axId val="169412096"/>
        <c:scaling>
          <c:orientation val="minMax"/>
        </c:scaling>
        <c:axPos val="b"/>
        <c:tickLblPos val="high"/>
        <c:crossAx val="169413632"/>
        <c:crosses val="autoZero"/>
        <c:auto val="1"/>
        <c:lblAlgn val="ctr"/>
        <c:lblOffset val="100"/>
      </c:catAx>
      <c:valAx>
        <c:axId val="169413632"/>
        <c:scaling>
          <c:orientation val="minMax"/>
          <c:min val="-1.7"/>
        </c:scaling>
        <c:axPos val="l"/>
        <c:majorGridlines/>
        <c:numFmt formatCode="0.0%" sourceLinked="1"/>
        <c:tickLblPos val="nextTo"/>
        <c:crossAx val="169412096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3447507968256374"/>
          <c:y val="1.7749084966437553E-2"/>
          <c:w val="0.1583795112427667"/>
          <c:h val="0.1478063955556156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7.0589507471931073E-2"/>
          <c:y val="6.0511249535847723E-2"/>
          <c:w val="0.91028837171103238"/>
          <c:h val="0.73663367712177652"/>
        </c:manualLayout>
      </c:layout>
      <c:lineChart>
        <c:grouping val="standard"/>
        <c:ser>
          <c:idx val="0"/>
          <c:order val="0"/>
          <c:tx>
            <c:strRef>
              <c:f>'t5'!$A$16</c:f>
              <c:strCache>
                <c:ptCount val="1"/>
                <c:pt idx="0">
                  <c:v>Численность размещенных лиц, млн человек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Pos val="t"/>
            <c:showVal val="1"/>
          </c:dLbls>
          <c:cat>
            <c:strRef>
              <c:f>'t5'!$B$15:$K$15</c:f>
              <c:strCache>
                <c:ptCount val="10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</c:strCache>
            </c:strRef>
          </c:cat>
          <c:val>
            <c:numRef>
              <c:f>'t5'!$B$16:$K$16</c:f>
              <c:numCache>
                <c:formatCode>#,##0.0</c:formatCode>
                <c:ptCount val="10"/>
                <c:pt idx="0">
                  <c:v>37.399454000000006</c:v>
                </c:pt>
                <c:pt idx="1">
                  <c:v>41.065067000000006</c:v>
                </c:pt>
                <c:pt idx="2">
                  <c:v>42.635163000000013</c:v>
                </c:pt>
                <c:pt idx="3">
                  <c:v>44.218887000000002</c:v>
                </c:pt>
                <c:pt idx="4">
                  <c:v>49.284209000000004</c:v>
                </c:pt>
                <c:pt idx="5">
                  <c:v>54.430931000000008</c:v>
                </c:pt>
                <c:pt idx="6">
                  <c:v>61.563204000000006</c:v>
                </c:pt>
                <c:pt idx="7">
                  <c:v>71.538080999999977</c:v>
                </c:pt>
                <c:pt idx="8">
                  <c:v>76.041739000000007</c:v>
                </c:pt>
                <c:pt idx="9">
                  <c:v>47.382458</c:v>
                </c:pt>
              </c:numCache>
            </c:numRef>
          </c:val>
        </c:ser>
        <c:ser>
          <c:idx val="1"/>
          <c:order val="1"/>
          <c:tx>
            <c:strRef>
              <c:f>'t5'!$A$17</c:f>
              <c:strCache>
                <c:ptCount val="1"/>
                <c:pt idx="0">
                  <c:v>Число ночевок, млн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3"/>
              <c:layout>
                <c:manualLayout>
                  <c:x val="-4.0852262945043551E-2"/>
                  <c:y val="-6.057412997664748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9067345497475488E-2"/>
                  <c:y val="-5.48331918440707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2891777082081493E-2"/>
                  <c:y val="-5.19627227777823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't5'!$B$15:$K$15</c:f>
              <c:strCache>
                <c:ptCount val="10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</c:strCache>
            </c:strRef>
          </c:cat>
          <c:val>
            <c:numRef>
              <c:f>'t5'!$B$17:$K$17</c:f>
              <c:numCache>
                <c:formatCode>#,##0.0</c:formatCode>
                <c:ptCount val="10"/>
                <c:pt idx="0">
                  <c:v>166.19711800000005</c:v>
                </c:pt>
                <c:pt idx="1">
                  <c:v>173.61418199999994</c:v>
                </c:pt>
                <c:pt idx="2">
                  <c:v>172.63047500000002</c:v>
                </c:pt>
                <c:pt idx="3">
                  <c:v>184.01771299999999</c:v>
                </c:pt>
                <c:pt idx="4">
                  <c:v>212.19533900000008</c:v>
                </c:pt>
                <c:pt idx="5">
                  <c:v>216.83758399999999</c:v>
                </c:pt>
                <c:pt idx="6">
                  <c:v>253.02269900000005</c:v>
                </c:pt>
                <c:pt idx="7">
                  <c:v>274.58473499999985</c:v>
                </c:pt>
                <c:pt idx="8">
                  <c:v>283.1910059999999</c:v>
                </c:pt>
                <c:pt idx="9">
                  <c:v>191.175546</c:v>
                </c:pt>
              </c:numCache>
            </c:numRef>
          </c:val>
        </c:ser>
        <c:marker val="1"/>
        <c:axId val="166277504"/>
        <c:axId val="166279040"/>
      </c:lineChart>
      <c:catAx>
        <c:axId val="166277504"/>
        <c:scaling>
          <c:orientation val="minMax"/>
        </c:scaling>
        <c:axPos val="b"/>
        <c:majorTickMark val="none"/>
        <c:tickLblPos val="nextTo"/>
        <c:crossAx val="166279040"/>
        <c:crosses val="autoZero"/>
        <c:auto val="1"/>
        <c:lblAlgn val="ctr"/>
        <c:lblOffset val="100"/>
      </c:catAx>
      <c:valAx>
        <c:axId val="166279040"/>
        <c:scaling>
          <c:orientation val="minMax"/>
        </c:scaling>
        <c:axPos val="l"/>
        <c:numFmt formatCode="#,##0.0" sourceLinked="1"/>
        <c:majorTickMark val="none"/>
        <c:tickLblPos val="nextTo"/>
        <c:crossAx val="16627750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Позиция России в мировом рейтинге конкурентоспособности индустрии туризма и путешествий</a:t>
            </a:r>
          </a:p>
        </c:rich>
      </c:tx>
      <c:layout>
        <c:manualLayout>
          <c:xMode val="edge"/>
          <c:yMode val="edge"/>
          <c:x val="0.1822818762604777"/>
          <c:y val="1.93004018210298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't8'!$I$3</c:f>
              <c:strCache>
                <c:ptCount val="1"/>
                <c:pt idx="0">
                  <c:v>Позиция России в мировом рейтинге конкурентоспособности индустрии туризма и путешествий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pPr>
              <a:solidFill>
                <a:schemeClr val="accent2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0"/>
              <c:layout>
                <c:manualLayout>
                  <c:x val="-3.90625E-2"/>
                  <c:y val="-4.1817445447990022E-2"/>
                </c:manualLayout>
              </c:layout>
              <c:showVal val="1"/>
            </c:dLbl>
            <c:dLbl>
              <c:idx val="1"/>
              <c:layout>
                <c:manualLayout>
                  <c:x val="-3.6458333333333336E-2"/>
                  <c:y val="-3.8600718875067656E-2"/>
                </c:manualLayout>
              </c:layout>
              <c:showVal val="1"/>
            </c:dLbl>
            <c:dLbl>
              <c:idx val="2"/>
              <c:layout>
                <c:manualLayout>
                  <c:x val="-3.6458333333333336E-2"/>
                  <c:y val="-3.216751901477998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numRef>
              <c:f>'t8'!$H$4:$H$6</c:f>
              <c:numCache>
                <c:formatCode>General</c:formatCode>
                <c:ptCount val="3"/>
                <c:pt idx="0">
                  <c:v>2015</c:v>
                </c:pt>
                <c:pt idx="1">
                  <c:v>2017</c:v>
                </c:pt>
                <c:pt idx="2">
                  <c:v>2019</c:v>
                </c:pt>
              </c:numCache>
            </c:numRef>
          </c:cat>
          <c:val>
            <c:numRef>
              <c:f>'t8'!$I$4:$I$6</c:f>
              <c:numCache>
                <c:formatCode>General</c:formatCode>
                <c:ptCount val="3"/>
                <c:pt idx="0">
                  <c:v>45</c:v>
                </c:pt>
                <c:pt idx="1">
                  <c:v>43</c:v>
                </c:pt>
                <c:pt idx="2">
                  <c:v>39</c:v>
                </c:pt>
              </c:numCache>
            </c:numRef>
          </c:val>
        </c:ser>
        <c:marker val="1"/>
        <c:axId val="166315520"/>
        <c:axId val="166317056"/>
      </c:lineChart>
      <c:catAx>
        <c:axId val="166315520"/>
        <c:scaling>
          <c:orientation val="minMax"/>
        </c:scaling>
        <c:axPos val="t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6317056"/>
        <c:crosses val="autoZero"/>
        <c:auto val="1"/>
        <c:lblAlgn val="ctr"/>
        <c:lblOffset val="100"/>
      </c:catAx>
      <c:valAx>
        <c:axId val="166317056"/>
        <c:scaling>
          <c:orientation val="maxMin"/>
          <c:max val="50"/>
          <c:min val="30"/>
        </c:scaling>
        <c:delete val="1"/>
        <c:axPos val="l"/>
        <c:majorGridlines/>
        <c:numFmt formatCode="General" sourceLinked="1"/>
        <c:tickLblPos val="none"/>
        <c:crossAx val="166315520"/>
        <c:crosses val="autoZero"/>
        <c:crossBetween val="between"/>
        <c:majorUnit val="10"/>
        <c:minorUnit val="1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C66C-716C-46F9-8CF0-37F638A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Александр Алексеевич</dc:creator>
  <cp:lastModifiedBy>Элеонора</cp:lastModifiedBy>
  <cp:revision>2</cp:revision>
  <cp:lastPrinted>2021-09-27T15:11:00Z</cp:lastPrinted>
  <dcterms:created xsi:type="dcterms:W3CDTF">2021-09-27T17:22:00Z</dcterms:created>
  <dcterms:modified xsi:type="dcterms:W3CDTF">2021-09-27T17:22:00Z</dcterms:modified>
</cp:coreProperties>
</file>